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0E06" w14:textId="03BB189C" w:rsidR="00AF17F5" w:rsidRPr="00AF17F5" w:rsidRDefault="00AF17F5" w:rsidP="00AF17F5">
      <w:pPr>
        <w:jc w:val="center"/>
        <w:rPr>
          <w:b/>
          <w:bCs/>
          <w:sz w:val="24"/>
          <w:szCs w:val="28"/>
        </w:rPr>
      </w:pPr>
      <w:r w:rsidRPr="00AF17F5">
        <w:rPr>
          <w:b/>
          <w:bCs/>
          <w:sz w:val="24"/>
          <w:szCs w:val="28"/>
        </w:rPr>
        <w:t>RESPONSIBLE MINERALS SOURCING POLICY</w:t>
      </w:r>
      <w:r w:rsidRPr="00AF17F5">
        <w:rPr>
          <w:rFonts w:hint="eastAsia"/>
          <w:b/>
          <w:bCs/>
          <w:sz w:val="24"/>
          <w:szCs w:val="28"/>
        </w:rPr>
        <w:t xml:space="preserve"> </w:t>
      </w:r>
      <w:r w:rsidRPr="00AF17F5">
        <w:rPr>
          <w:b/>
          <w:bCs/>
          <w:sz w:val="24"/>
          <w:szCs w:val="28"/>
        </w:rPr>
        <w:t>OF TOENERGY TECHNOLOGY</w:t>
      </w:r>
    </w:p>
    <w:p w14:paraId="220E7BEE" w14:textId="52A7A03D" w:rsidR="00AF17F5" w:rsidRPr="00AF17F5" w:rsidRDefault="00AF17F5" w:rsidP="00AF17F5"/>
    <w:p w14:paraId="0610F26C" w14:textId="6851203F" w:rsidR="00AF17F5" w:rsidRPr="00AF17F5" w:rsidRDefault="00AF17F5" w:rsidP="00AF17F5">
      <w:r w:rsidRPr="00AF17F5">
        <w:rPr>
          <w:b/>
          <w:bCs/>
        </w:rPr>
        <w:t>1. Introduction</w:t>
      </w:r>
      <w:r w:rsidRPr="00AF17F5">
        <w:br/>
      </w:r>
      <w:proofErr w:type="spellStart"/>
      <w:r w:rsidRPr="00AF17F5">
        <w:t>Toenergy</w:t>
      </w:r>
      <w:proofErr w:type="spellEnd"/>
      <w:r w:rsidRPr="00AF17F5">
        <w:t xml:space="preserve"> Technology Hangzhou Co., Ltd. (hereinafter referred to as “</w:t>
      </w:r>
      <w:proofErr w:type="spellStart"/>
      <w:r w:rsidRPr="00AF17F5">
        <w:t>Toenergy</w:t>
      </w:r>
      <w:proofErr w:type="spellEnd"/>
      <w:r w:rsidRPr="00AF17F5">
        <w:t>” or “the Company”) is committed to conducting its business responsibly and ethically. This Responsible Minerals Sourcing Policy (hereinafter referred to as “the Policy”) is established with reference to internationally recognized standards and guidelines, including but not limited to:</w:t>
      </w:r>
    </w:p>
    <w:p w14:paraId="5330C9F0" w14:textId="77777777" w:rsidR="00AF17F5" w:rsidRPr="00AF17F5" w:rsidRDefault="00AF17F5" w:rsidP="00AF17F5">
      <w:pPr>
        <w:numPr>
          <w:ilvl w:val="0"/>
          <w:numId w:val="1"/>
        </w:numPr>
      </w:pPr>
      <w:r w:rsidRPr="00AF17F5">
        <w:t>The OECD Due Diligence Guidance for Responsible Supply Chains of Minerals from Conflict-Affected and High-Risk Areas (Third Edition);</w:t>
      </w:r>
    </w:p>
    <w:p w14:paraId="11BFD894" w14:textId="77777777" w:rsidR="00AF17F5" w:rsidRPr="00AF17F5" w:rsidRDefault="00AF17F5" w:rsidP="00AF17F5">
      <w:pPr>
        <w:numPr>
          <w:ilvl w:val="0"/>
          <w:numId w:val="1"/>
        </w:numPr>
      </w:pPr>
      <w:r w:rsidRPr="00AF17F5">
        <w:t>The Chinese Due Diligence Guidelines for Mineral Supply Chain (Second Edition);</w:t>
      </w:r>
    </w:p>
    <w:p w14:paraId="07E457D2" w14:textId="77777777" w:rsidR="00AF17F5" w:rsidRPr="00AF17F5" w:rsidRDefault="00AF17F5" w:rsidP="00AF17F5">
      <w:pPr>
        <w:numPr>
          <w:ilvl w:val="0"/>
          <w:numId w:val="1"/>
        </w:numPr>
      </w:pPr>
      <w:r w:rsidRPr="00AF17F5">
        <w:t>Section 1502 of the Dodd-Frank Wall Street Reform and Consumer Protection Act;</w:t>
      </w:r>
    </w:p>
    <w:p w14:paraId="5E09D3A7" w14:textId="77777777" w:rsidR="00AF17F5" w:rsidRPr="00AF17F5" w:rsidRDefault="00AF17F5" w:rsidP="00AF17F5">
      <w:pPr>
        <w:numPr>
          <w:ilvl w:val="0"/>
          <w:numId w:val="1"/>
        </w:numPr>
      </w:pPr>
      <w:r w:rsidRPr="00AF17F5">
        <w:t>The EU Conflict Minerals Regulation.</w:t>
      </w:r>
      <w:r w:rsidRPr="00AF17F5">
        <w:br/>
        <w:t>The Policy outlines our commitment to responsible sourcing of minerals and applies to all our operations, suppliers, and business partners.</w:t>
      </w:r>
    </w:p>
    <w:p w14:paraId="3A0988A2" w14:textId="77777777" w:rsidR="00AF17F5" w:rsidRPr="00AF17F5" w:rsidRDefault="00AF17F5" w:rsidP="00AF17F5">
      <w:r w:rsidRPr="00AF17F5">
        <w:rPr>
          <w:b/>
          <w:bCs/>
        </w:rPr>
        <w:t>2. Scope</w:t>
      </w:r>
      <w:r w:rsidRPr="00AF17F5">
        <w:br/>
        <w:t xml:space="preserve">This Policy applies to all business activities of </w:t>
      </w:r>
      <w:proofErr w:type="spellStart"/>
      <w:r w:rsidRPr="00AF17F5">
        <w:t>Toenergy</w:t>
      </w:r>
      <w:proofErr w:type="spellEnd"/>
      <w:r w:rsidRPr="00AF17F5">
        <w:t xml:space="preserve"> and its subsidiaries worldwide. It extends to all directors, officers, employees, contractors, suppliers, and other business partners involved in our supply chain. We also encourage our non-controlled joint ventures to adopt and implement similar principles.</w:t>
      </w:r>
    </w:p>
    <w:p w14:paraId="1ACB75F6" w14:textId="77777777" w:rsidR="00AF17F5" w:rsidRPr="00AF17F5" w:rsidRDefault="00AF17F5" w:rsidP="00AF17F5">
      <w:r w:rsidRPr="00AF17F5">
        <w:rPr>
          <w:b/>
          <w:bCs/>
        </w:rPr>
        <w:t>3. Governance and Review</w:t>
      </w:r>
      <w:r w:rsidRPr="00AF17F5">
        <w:br/>
        <w:t xml:space="preserve">The Board of Directors of </w:t>
      </w:r>
      <w:proofErr w:type="spellStart"/>
      <w:r w:rsidRPr="00AF17F5">
        <w:t>Toenergy</w:t>
      </w:r>
      <w:proofErr w:type="spellEnd"/>
      <w:r w:rsidRPr="00AF17F5">
        <w:t xml:space="preserve"> holds ultimate oversight responsibility for this Policy. Day-to-day implementation is managed by the designated department (e.g., Procurement, Supply Chain, or Sustainability). The Policy is reviewed annually and may be updated to reflect changes in regulations, standards, or our business context. It is published in both English and Chinese. In case of any discrepancy, the Chinese version shall prevail.</w:t>
      </w:r>
    </w:p>
    <w:p w14:paraId="0A79204F" w14:textId="77777777" w:rsidR="00AF17F5" w:rsidRPr="00AF17F5" w:rsidRDefault="00AF17F5" w:rsidP="00AF17F5">
      <w:r w:rsidRPr="00AF17F5">
        <w:rPr>
          <w:b/>
          <w:bCs/>
        </w:rPr>
        <w:t>4. Commitments</w:t>
      </w:r>
      <w:r w:rsidRPr="00AF17F5">
        <w:br/>
      </w:r>
      <w:proofErr w:type="spellStart"/>
      <w:r w:rsidRPr="00AF17F5">
        <w:t>Toenergy</w:t>
      </w:r>
      <w:proofErr w:type="spellEnd"/>
      <w:r w:rsidRPr="00AF17F5">
        <w:t xml:space="preserve"> is committed to ensuring that our supply chain does not contribute to conflict, human rights abuses, environmental degradation, or unethical practices. We will not knowingly source minerals from conflict-affected or high-risk areas that finance armed groups or involve serious human rights violations, as defined by international norms.</w:t>
      </w:r>
    </w:p>
    <w:p w14:paraId="63D9242E" w14:textId="77777777" w:rsidR="00AF17F5" w:rsidRPr="00AF17F5" w:rsidRDefault="00AF17F5" w:rsidP="00AF17F5">
      <w:r w:rsidRPr="00AF17F5">
        <w:rPr>
          <w:b/>
          <w:bCs/>
        </w:rPr>
        <w:t>4.1. Minerals in Scope</w:t>
      </w:r>
      <w:r w:rsidRPr="00AF17F5">
        <w:br/>
        <w:t>The minerals currently covered by this Policy include:</w:t>
      </w:r>
    </w:p>
    <w:p w14:paraId="1C4DDC5E" w14:textId="77777777" w:rsidR="00AF17F5" w:rsidRPr="00AF17F5" w:rsidRDefault="00AF17F5" w:rsidP="00AF17F5">
      <w:pPr>
        <w:numPr>
          <w:ilvl w:val="0"/>
          <w:numId w:val="2"/>
        </w:numPr>
      </w:pPr>
      <w:r w:rsidRPr="00AF17F5">
        <w:t>3TG: Tin, Tantalum, Tungsten, and Gold;</w:t>
      </w:r>
    </w:p>
    <w:p w14:paraId="720BCBF3" w14:textId="77777777" w:rsidR="00AF17F5" w:rsidRPr="00AF17F5" w:rsidRDefault="00AF17F5" w:rsidP="00AF17F5">
      <w:pPr>
        <w:numPr>
          <w:ilvl w:val="0"/>
          <w:numId w:val="2"/>
        </w:numPr>
      </w:pPr>
      <w:r w:rsidRPr="00AF17F5">
        <w:t>Cobalt;</w:t>
      </w:r>
    </w:p>
    <w:p w14:paraId="499C2642" w14:textId="77777777" w:rsidR="00AF17F5" w:rsidRPr="00AF17F5" w:rsidRDefault="00AF17F5" w:rsidP="00AF17F5">
      <w:pPr>
        <w:numPr>
          <w:ilvl w:val="0"/>
          <w:numId w:val="2"/>
        </w:numPr>
      </w:pPr>
      <w:r w:rsidRPr="00AF17F5">
        <w:t>Mica.</w:t>
      </w:r>
      <w:r w:rsidRPr="00AF17F5">
        <w:br/>
        <w:t>This list may be expanded based on ongoing risk assessments and developments in international standards.</w:t>
      </w:r>
    </w:p>
    <w:p w14:paraId="06748AEC" w14:textId="77777777" w:rsidR="00AF17F5" w:rsidRPr="00AF17F5" w:rsidRDefault="00AF17F5" w:rsidP="00AF17F5">
      <w:r w:rsidRPr="00AF17F5">
        <w:rPr>
          <w:b/>
          <w:bCs/>
        </w:rPr>
        <w:t>4.2. Due Diligence Commitment</w:t>
      </w:r>
      <w:r w:rsidRPr="00AF17F5">
        <w:br/>
      </w:r>
      <w:proofErr w:type="spellStart"/>
      <w:r w:rsidRPr="00AF17F5">
        <w:t>Toenergy</w:t>
      </w:r>
      <w:proofErr w:type="spellEnd"/>
      <w:r w:rsidRPr="00AF17F5">
        <w:t xml:space="preserve"> is committed to implementing a meaningful due diligence process for responsible mineral sourcing. We will engage with our suppliers to promote transparency, utilizing industry-standard tools such as the Conflict Minerals Reporting Template (CMRT) and the Extended Minerals Reporting Template (EMRT). Our focus is on continuous improvement in </w:t>
      </w:r>
      <w:r w:rsidRPr="00AF17F5">
        <w:lastRenderedPageBreak/>
        <w:t>identifying, assessing, and mitigating risks within our supply chain related to the covered minerals.</w:t>
      </w:r>
    </w:p>
    <w:p w14:paraId="40022426" w14:textId="77777777" w:rsidR="00AF17F5" w:rsidRPr="00AF17F5" w:rsidRDefault="00AF17F5" w:rsidP="00AF17F5">
      <w:r w:rsidRPr="00AF17F5">
        <w:rPr>
          <w:b/>
          <w:bCs/>
        </w:rPr>
        <w:t>4.3. Due Diligence Process</w:t>
      </w:r>
      <w:r w:rsidRPr="00AF17F5">
        <w:br/>
        <w:t>We implement a risk-based due diligence process aligned with the OECD five-step framework:</w:t>
      </w:r>
    </w:p>
    <w:p w14:paraId="2D31AA49" w14:textId="77777777" w:rsidR="00AF17F5" w:rsidRPr="00AF17F5" w:rsidRDefault="00AF17F5" w:rsidP="00AF17F5">
      <w:pPr>
        <w:numPr>
          <w:ilvl w:val="0"/>
          <w:numId w:val="3"/>
        </w:numPr>
      </w:pPr>
      <w:r w:rsidRPr="00AF17F5">
        <w:rPr>
          <w:b/>
          <w:bCs/>
        </w:rPr>
        <w:t>Establish Strong Company Management Systems:</w:t>
      </w:r>
      <w:r w:rsidRPr="00AF17F5">
        <w:t> We integrate this Policy into our supplier contracts and codes of conduct. Internal training is provided to relevant staff.</w:t>
      </w:r>
    </w:p>
    <w:p w14:paraId="655E7C3F" w14:textId="77777777" w:rsidR="00AF17F5" w:rsidRPr="00AF17F5" w:rsidRDefault="00AF17F5" w:rsidP="00AF17F5">
      <w:pPr>
        <w:numPr>
          <w:ilvl w:val="0"/>
          <w:numId w:val="3"/>
        </w:numPr>
      </w:pPr>
      <w:r w:rsidRPr="00AF17F5">
        <w:rPr>
          <w:b/>
          <w:bCs/>
        </w:rPr>
        <w:t>Identify and Assess Risks in the Supply Chain:</w:t>
      </w:r>
      <w:r w:rsidRPr="00AF17F5">
        <w:t> We require suppliers to provide transparency on the smelters and refiners (SORs) in their supply chains using standardized templates. This data is assessed against recognized responsible sourcing audit programs.</w:t>
      </w:r>
    </w:p>
    <w:p w14:paraId="74D172E5" w14:textId="77777777" w:rsidR="00AF17F5" w:rsidRPr="00AF17F5" w:rsidRDefault="00AF17F5" w:rsidP="00AF17F5">
      <w:pPr>
        <w:numPr>
          <w:ilvl w:val="0"/>
          <w:numId w:val="3"/>
        </w:numPr>
      </w:pPr>
      <w:r w:rsidRPr="00AF17F5">
        <w:rPr>
          <w:b/>
          <w:bCs/>
        </w:rPr>
        <w:t>Design and Implement a Strategy to Respond to Identified Risks:</w:t>
      </w:r>
      <w:r w:rsidRPr="00AF17F5">
        <w:t> If risks are identified, we engage with the supplier to develop and monitor a corrective action plan. Persistent failure to mitigate high risks may result in the termination of the business relationship.</w:t>
      </w:r>
    </w:p>
    <w:p w14:paraId="2231BE9E" w14:textId="77777777" w:rsidR="00AF17F5" w:rsidRPr="00AF17F5" w:rsidRDefault="00AF17F5" w:rsidP="00AF17F5">
      <w:pPr>
        <w:numPr>
          <w:ilvl w:val="0"/>
          <w:numId w:val="3"/>
        </w:numPr>
      </w:pPr>
      <w:r w:rsidRPr="00AF17F5">
        <w:rPr>
          <w:b/>
          <w:bCs/>
        </w:rPr>
        <w:t>Carry out Independent Third-Party Audit of Supply Chain Due Diligence:</w:t>
      </w:r>
      <w:r w:rsidRPr="00AF17F5">
        <w:t> We support industry audit programs and reserve the right to conduct or commission specific supply chain audits.</w:t>
      </w:r>
    </w:p>
    <w:p w14:paraId="696A7DF3" w14:textId="77777777" w:rsidR="00AF17F5" w:rsidRPr="00AF17F5" w:rsidRDefault="00AF17F5" w:rsidP="00AF17F5">
      <w:pPr>
        <w:numPr>
          <w:ilvl w:val="0"/>
          <w:numId w:val="3"/>
        </w:numPr>
      </w:pPr>
      <w:r w:rsidRPr="00AF17F5">
        <w:rPr>
          <w:b/>
          <w:bCs/>
        </w:rPr>
        <w:t>Report Annually on Supply Chain Due Diligence:</w:t>
      </w:r>
      <w:r w:rsidRPr="00AF17F5">
        <w:t> We will publicly disclose our approach, progress, and outcomes of our due diligence efforts in our annual sustainability or ESG report.</w:t>
      </w:r>
    </w:p>
    <w:p w14:paraId="356EC937" w14:textId="77777777" w:rsidR="00AF17F5" w:rsidRPr="00AF17F5" w:rsidRDefault="00AF17F5" w:rsidP="00AF17F5">
      <w:r w:rsidRPr="00AF17F5">
        <w:rPr>
          <w:b/>
          <w:bCs/>
        </w:rPr>
        <w:t>4.4. Expectations for Suppliers</w:t>
      </w:r>
      <w:r w:rsidRPr="00AF17F5">
        <w:br/>
        <w:t>All suppliers are expected to:</w:t>
      </w:r>
    </w:p>
    <w:p w14:paraId="762A1912" w14:textId="77777777" w:rsidR="00AF17F5" w:rsidRPr="00AF17F5" w:rsidRDefault="00AF17F5" w:rsidP="00AF17F5">
      <w:pPr>
        <w:numPr>
          <w:ilvl w:val="0"/>
          <w:numId w:val="4"/>
        </w:numPr>
      </w:pPr>
      <w:r w:rsidRPr="00AF17F5">
        <w:t>Understand and comply with this Policy and all applicable laws.</w:t>
      </w:r>
    </w:p>
    <w:p w14:paraId="4810BC6D" w14:textId="77777777" w:rsidR="00AF17F5" w:rsidRPr="00AF17F5" w:rsidRDefault="00AF17F5" w:rsidP="00AF17F5">
      <w:pPr>
        <w:numPr>
          <w:ilvl w:val="0"/>
          <w:numId w:val="4"/>
        </w:numPr>
      </w:pPr>
      <w:r w:rsidRPr="00AF17F5">
        <w:t>Establish their own due diligence processes for responsible mineral sourcing.</w:t>
      </w:r>
    </w:p>
    <w:p w14:paraId="45198939" w14:textId="77777777" w:rsidR="00AF17F5" w:rsidRPr="00AF17F5" w:rsidRDefault="00AF17F5" w:rsidP="00AF17F5">
      <w:pPr>
        <w:numPr>
          <w:ilvl w:val="0"/>
          <w:numId w:val="4"/>
        </w:numPr>
      </w:pPr>
      <w:r w:rsidRPr="00AF17F5">
        <w:t>Provide complete, accurate, and timely information regarding the source and chain of custody of covered minerals upon request.</w:t>
      </w:r>
    </w:p>
    <w:p w14:paraId="7FB2318F" w14:textId="77777777" w:rsidR="00AF17F5" w:rsidRPr="00AF17F5" w:rsidRDefault="00AF17F5" w:rsidP="00AF17F5">
      <w:pPr>
        <w:numPr>
          <w:ilvl w:val="0"/>
          <w:numId w:val="4"/>
        </w:numPr>
      </w:pPr>
      <w:r w:rsidRPr="00AF17F5">
        <w:t xml:space="preserve">Fully cooperate with </w:t>
      </w:r>
      <w:proofErr w:type="spellStart"/>
      <w:r w:rsidRPr="00AF17F5">
        <w:t>Toenergy's</w:t>
      </w:r>
      <w:proofErr w:type="spellEnd"/>
      <w:r w:rsidRPr="00AF17F5">
        <w:t xml:space="preserve"> due diligence inquiries and audit processes.</w:t>
      </w:r>
    </w:p>
    <w:p w14:paraId="722443B1" w14:textId="77777777" w:rsidR="00AF17F5" w:rsidRPr="00AF17F5" w:rsidRDefault="00AF17F5" w:rsidP="00AF17F5">
      <w:pPr>
        <w:numPr>
          <w:ilvl w:val="0"/>
          <w:numId w:val="4"/>
        </w:numPr>
      </w:pPr>
      <w:r w:rsidRPr="00AF17F5">
        <w:t>Refrain from sourcing minerals that contribute to conflict, human rights abuses, or significant environmental harm.</w:t>
      </w:r>
    </w:p>
    <w:p w14:paraId="06D306EC" w14:textId="77777777" w:rsidR="0074063C" w:rsidRPr="00AF17F5" w:rsidRDefault="0074063C">
      <w:pPr>
        <w:rPr>
          <w:rFonts w:hint="eastAsia"/>
        </w:rPr>
      </w:pPr>
    </w:p>
    <w:sectPr w:rsidR="0074063C" w:rsidRPr="00AF17F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4C7C" w14:textId="77777777" w:rsidR="009C50E1" w:rsidRDefault="009C50E1" w:rsidP="00AF17F5">
      <w:pPr>
        <w:rPr>
          <w:rFonts w:hint="eastAsia"/>
        </w:rPr>
      </w:pPr>
      <w:r>
        <w:separator/>
      </w:r>
    </w:p>
  </w:endnote>
  <w:endnote w:type="continuationSeparator" w:id="0">
    <w:p w14:paraId="73EE2972" w14:textId="77777777" w:rsidR="009C50E1" w:rsidRDefault="009C50E1" w:rsidP="00AF17F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4F37" w14:textId="77777777" w:rsidR="00AF17F5" w:rsidRDefault="00AF17F5">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905747"/>
      <w:docPartObj>
        <w:docPartGallery w:val="Page Numbers (Bottom of Page)"/>
        <w:docPartUnique/>
      </w:docPartObj>
    </w:sdtPr>
    <w:sdtContent>
      <w:p w14:paraId="6844826E" w14:textId="4E12097E" w:rsidR="00AF17F5" w:rsidRDefault="00AF17F5">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028D658E" w14:textId="77777777" w:rsidR="00AF17F5" w:rsidRDefault="00AF17F5">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ACEB" w14:textId="77777777" w:rsidR="00AF17F5" w:rsidRDefault="00AF17F5">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B60F" w14:textId="77777777" w:rsidR="009C50E1" w:rsidRDefault="009C50E1" w:rsidP="00AF17F5">
      <w:pPr>
        <w:rPr>
          <w:rFonts w:hint="eastAsia"/>
        </w:rPr>
      </w:pPr>
      <w:r>
        <w:separator/>
      </w:r>
    </w:p>
  </w:footnote>
  <w:footnote w:type="continuationSeparator" w:id="0">
    <w:p w14:paraId="417D830E" w14:textId="77777777" w:rsidR="009C50E1" w:rsidRDefault="009C50E1" w:rsidP="00AF17F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DBD1" w14:textId="77777777" w:rsidR="00AF17F5" w:rsidRDefault="00AF17F5">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963E" w14:textId="1B336E3F" w:rsidR="00AF17F5" w:rsidRPr="00AF17F5" w:rsidRDefault="00AF17F5" w:rsidP="00AF17F5">
    <w:pPr>
      <w:pStyle w:val="ae"/>
    </w:pPr>
    <w:r w:rsidRPr="00AF17F5">
      <w:drawing>
        <wp:anchor distT="0" distB="0" distL="114300" distR="114300" simplePos="0" relativeHeight="251658240" behindDoc="0" locked="0" layoutInCell="1" allowOverlap="1" wp14:anchorId="5584DA9D" wp14:editId="4BAD2604">
          <wp:simplePos x="0" y="0"/>
          <wp:positionH relativeFrom="column">
            <wp:posOffset>-916713</wp:posOffset>
          </wp:positionH>
          <wp:positionV relativeFrom="paragraph">
            <wp:posOffset>-344418</wp:posOffset>
          </wp:positionV>
          <wp:extent cx="1540300" cy="482567"/>
          <wp:effectExtent l="0" t="0" r="3175" b="0"/>
          <wp:wrapSquare wrapText="bothSides"/>
          <wp:docPr id="142003800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300" cy="482567"/>
                  </a:xfrm>
                  <a:prstGeom prst="rect">
                    <a:avLst/>
                  </a:prstGeom>
                  <a:noFill/>
                  <a:ln>
                    <a:noFill/>
                  </a:ln>
                </pic:spPr>
              </pic:pic>
            </a:graphicData>
          </a:graphic>
        </wp:anchor>
      </w:drawing>
    </w:r>
  </w:p>
  <w:p w14:paraId="7AFFE2F2" w14:textId="3979D60C" w:rsidR="00AF17F5" w:rsidRPr="00AF17F5" w:rsidRDefault="00AF17F5" w:rsidP="00AF17F5">
    <w:pPr>
      <w:pStyle w:val="ae"/>
      <w:jc w:val="left"/>
      <w:rPr>
        <w:rFonts w:hint="eastAsia"/>
        <w:u w:val="single"/>
      </w:rPr>
    </w:pPr>
    <w:r>
      <w:rPr>
        <w:rFonts w:hint="eastAsia"/>
        <w:u w:val="single"/>
      </w:rPr>
      <w:t xml:space="preserve">                                                                               </w:t>
    </w:r>
    <w:r w:rsidRPr="00AF17F5">
      <w:rPr>
        <w:rFonts w:hint="eastAsia"/>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4DED" w14:textId="77777777" w:rsidR="00AF17F5" w:rsidRDefault="00AF17F5">
    <w:pPr>
      <w:pStyle w:val="a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3BB"/>
    <w:multiLevelType w:val="multilevel"/>
    <w:tmpl w:val="C288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50B43"/>
    <w:multiLevelType w:val="multilevel"/>
    <w:tmpl w:val="67E2B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2305B6"/>
    <w:multiLevelType w:val="multilevel"/>
    <w:tmpl w:val="796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BB3197"/>
    <w:multiLevelType w:val="multilevel"/>
    <w:tmpl w:val="6582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249234">
    <w:abstractNumId w:val="0"/>
  </w:num>
  <w:num w:numId="2" w16cid:durableId="1337415599">
    <w:abstractNumId w:val="3"/>
  </w:num>
  <w:num w:numId="3" w16cid:durableId="341902687">
    <w:abstractNumId w:val="1"/>
  </w:num>
  <w:num w:numId="4" w16cid:durableId="1240752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8F"/>
    <w:rsid w:val="00623744"/>
    <w:rsid w:val="006D654F"/>
    <w:rsid w:val="0074063C"/>
    <w:rsid w:val="009C50E1"/>
    <w:rsid w:val="00AF17F5"/>
    <w:rsid w:val="00BC418F"/>
    <w:rsid w:val="00E1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049BE"/>
  <w15:chartTrackingRefBased/>
  <w15:docId w15:val="{B3A836D8-4FA2-4B16-9A35-E95CF79D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41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C41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C41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C418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C418F"/>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C418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C418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18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C418F"/>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1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C41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C41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C418F"/>
    <w:rPr>
      <w:rFonts w:cstheme="majorBidi"/>
      <w:color w:val="0F4761" w:themeColor="accent1" w:themeShade="BF"/>
      <w:sz w:val="28"/>
      <w:szCs w:val="28"/>
    </w:rPr>
  </w:style>
  <w:style w:type="character" w:customStyle="1" w:styleId="50">
    <w:name w:val="标题 5 字符"/>
    <w:basedOn w:val="a0"/>
    <w:link w:val="5"/>
    <w:uiPriority w:val="9"/>
    <w:semiHidden/>
    <w:rsid w:val="00BC418F"/>
    <w:rPr>
      <w:rFonts w:cstheme="majorBidi"/>
      <w:color w:val="0F4761" w:themeColor="accent1" w:themeShade="BF"/>
      <w:sz w:val="24"/>
      <w:szCs w:val="24"/>
    </w:rPr>
  </w:style>
  <w:style w:type="character" w:customStyle="1" w:styleId="60">
    <w:name w:val="标题 6 字符"/>
    <w:basedOn w:val="a0"/>
    <w:link w:val="6"/>
    <w:uiPriority w:val="9"/>
    <w:semiHidden/>
    <w:rsid w:val="00BC418F"/>
    <w:rPr>
      <w:rFonts w:cstheme="majorBidi"/>
      <w:b/>
      <w:bCs/>
      <w:color w:val="0F4761" w:themeColor="accent1" w:themeShade="BF"/>
    </w:rPr>
  </w:style>
  <w:style w:type="character" w:customStyle="1" w:styleId="70">
    <w:name w:val="标题 7 字符"/>
    <w:basedOn w:val="a0"/>
    <w:link w:val="7"/>
    <w:uiPriority w:val="9"/>
    <w:semiHidden/>
    <w:rsid w:val="00BC418F"/>
    <w:rPr>
      <w:rFonts w:cstheme="majorBidi"/>
      <w:b/>
      <w:bCs/>
      <w:color w:val="595959" w:themeColor="text1" w:themeTint="A6"/>
    </w:rPr>
  </w:style>
  <w:style w:type="character" w:customStyle="1" w:styleId="80">
    <w:name w:val="标题 8 字符"/>
    <w:basedOn w:val="a0"/>
    <w:link w:val="8"/>
    <w:uiPriority w:val="9"/>
    <w:semiHidden/>
    <w:rsid w:val="00BC418F"/>
    <w:rPr>
      <w:rFonts w:cstheme="majorBidi"/>
      <w:color w:val="595959" w:themeColor="text1" w:themeTint="A6"/>
    </w:rPr>
  </w:style>
  <w:style w:type="character" w:customStyle="1" w:styleId="90">
    <w:name w:val="标题 9 字符"/>
    <w:basedOn w:val="a0"/>
    <w:link w:val="9"/>
    <w:uiPriority w:val="9"/>
    <w:semiHidden/>
    <w:rsid w:val="00BC418F"/>
    <w:rPr>
      <w:rFonts w:eastAsiaTheme="majorEastAsia" w:cstheme="majorBidi"/>
      <w:color w:val="595959" w:themeColor="text1" w:themeTint="A6"/>
    </w:rPr>
  </w:style>
  <w:style w:type="paragraph" w:styleId="a3">
    <w:name w:val="Title"/>
    <w:basedOn w:val="a"/>
    <w:next w:val="a"/>
    <w:link w:val="a4"/>
    <w:uiPriority w:val="10"/>
    <w:qFormat/>
    <w:rsid w:val="00BC41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1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1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1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18F"/>
    <w:pPr>
      <w:spacing w:before="160" w:after="160"/>
      <w:jc w:val="center"/>
    </w:pPr>
    <w:rPr>
      <w:i/>
      <w:iCs/>
      <w:color w:val="404040" w:themeColor="text1" w:themeTint="BF"/>
    </w:rPr>
  </w:style>
  <w:style w:type="character" w:customStyle="1" w:styleId="a8">
    <w:name w:val="引用 字符"/>
    <w:basedOn w:val="a0"/>
    <w:link w:val="a7"/>
    <w:uiPriority w:val="29"/>
    <w:rsid w:val="00BC418F"/>
    <w:rPr>
      <w:i/>
      <w:iCs/>
      <w:color w:val="404040" w:themeColor="text1" w:themeTint="BF"/>
    </w:rPr>
  </w:style>
  <w:style w:type="paragraph" w:styleId="a9">
    <w:name w:val="List Paragraph"/>
    <w:basedOn w:val="a"/>
    <w:uiPriority w:val="34"/>
    <w:qFormat/>
    <w:rsid w:val="00BC418F"/>
    <w:pPr>
      <w:ind w:left="720"/>
      <w:contextualSpacing/>
    </w:pPr>
  </w:style>
  <w:style w:type="character" w:styleId="aa">
    <w:name w:val="Intense Emphasis"/>
    <w:basedOn w:val="a0"/>
    <w:uiPriority w:val="21"/>
    <w:qFormat/>
    <w:rsid w:val="00BC418F"/>
    <w:rPr>
      <w:i/>
      <w:iCs/>
      <w:color w:val="0F4761" w:themeColor="accent1" w:themeShade="BF"/>
    </w:rPr>
  </w:style>
  <w:style w:type="paragraph" w:styleId="ab">
    <w:name w:val="Intense Quote"/>
    <w:basedOn w:val="a"/>
    <w:next w:val="a"/>
    <w:link w:val="ac"/>
    <w:uiPriority w:val="30"/>
    <w:qFormat/>
    <w:rsid w:val="00BC41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C418F"/>
    <w:rPr>
      <w:i/>
      <w:iCs/>
      <w:color w:val="0F4761" w:themeColor="accent1" w:themeShade="BF"/>
    </w:rPr>
  </w:style>
  <w:style w:type="character" w:styleId="ad">
    <w:name w:val="Intense Reference"/>
    <w:basedOn w:val="a0"/>
    <w:uiPriority w:val="32"/>
    <w:qFormat/>
    <w:rsid w:val="00BC418F"/>
    <w:rPr>
      <w:b/>
      <w:bCs/>
      <w:smallCaps/>
      <w:color w:val="0F4761" w:themeColor="accent1" w:themeShade="BF"/>
      <w:spacing w:val="5"/>
    </w:rPr>
  </w:style>
  <w:style w:type="paragraph" w:styleId="ae">
    <w:name w:val="header"/>
    <w:basedOn w:val="a"/>
    <w:link w:val="af"/>
    <w:uiPriority w:val="99"/>
    <w:unhideWhenUsed/>
    <w:rsid w:val="00AF17F5"/>
    <w:pPr>
      <w:tabs>
        <w:tab w:val="center" w:pos="4153"/>
        <w:tab w:val="right" w:pos="8306"/>
      </w:tabs>
      <w:snapToGrid w:val="0"/>
      <w:jc w:val="center"/>
    </w:pPr>
    <w:rPr>
      <w:sz w:val="18"/>
      <w:szCs w:val="18"/>
    </w:rPr>
  </w:style>
  <w:style w:type="character" w:customStyle="1" w:styleId="af">
    <w:name w:val="页眉 字符"/>
    <w:basedOn w:val="a0"/>
    <w:link w:val="ae"/>
    <w:uiPriority w:val="99"/>
    <w:rsid w:val="00AF17F5"/>
    <w:rPr>
      <w:sz w:val="18"/>
      <w:szCs w:val="18"/>
    </w:rPr>
  </w:style>
  <w:style w:type="paragraph" w:styleId="af0">
    <w:name w:val="footer"/>
    <w:basedOn w:val="a"/>
    <w:link w:val="af1"/>
    <w:uiPriority w:val="99"/>
    <w:unhideWhenUsed/>
    <w:rsid w:val="00AF17F5"/>
    <w:pPr>
      <w:tabs>
        <w:tab w:val="center" w:pos="4153"/>
        <w:tab w:val="right" w:pos="8306"/>
      </w:tabs>
      <w:snapToGrid w:val="0"/>
      <w:jc w:val="left"/>
    </w:pPr>
    <w:rPr>
      <w:sz w:val="18"/>
      <w:szCs w:val="18"/>
    </w:rPr>
  </w:style>
  <w:style w:type="character" w:customStyle="1" w:styleId="af1">
    <w:name w:val="页脚 字符"/>
    <w:basedOn w:val="a0"/>
    <w:link w:val="af0"/>
    <w:uiPriority w:val="99"/>
    <w:rsid w:val="00AF17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2201</Words>
  <Characters>2290</Characters>
  <Application>Microsoft Office Word</Application>
  <DocSecurity>0</DocSecurity>
  <Lines>95</Lines>
  <Paragraphs>84</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琪峰 王</dc:creator>
  <cp:keywords/>
  <dc:description/>
  <cp:lastModifiedBy>琪峰 王</cp:lastModifiedBy>
  <cp:revision>2</cp:revision>
  <dcterms:created xsi:type="dcterms:W3CDTF">2026-01-20T05:57:00Z</dcterms:created>
  <dcterms:modified xsi:type="dcterms:W3CDTF">2026-01-20T06:14:00Z</dcterms:modified>
</cp:coreProperties>
</file>