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A0FF" w14:textId="58C61C78" w:rsidR="002E68E2" w:rsidRDefault="00A7040D">
      <w:r w:rsidRPr="00A7040D">
        <w:rPr>
          <w:rFonts w:ascii="Times New Roman" w:eastAsia="黑体" w:hAnsi="Times New Roman" w:cs="Times New Roman"/>
          <w:b/>
          <w:bCs/>
          <w:noProof/>
          <w:sz w:val="52"/>
          <w:szCs w:val="52"/>
        </w:rPr>
        <w:drawing>
          <wp:anchor distT="0" distB="0" distL="114300" distR="114300" simplePos="0" relativeHeight="251664384" behindDoc="1" locked="0" layoutInCell="1" allowOverlap="1" wp14:anchorId="7E676F80" wp14:editId="3C2ED77F">
            <wp:simplePos x="0" y="0"/>
            <wp:positionH relativeFrom="column">
              <wp:posOffset>-336550</wp:posOffset>
            </wp:positionH>
            <wp:positionV relativeFrom="paragraph">
              <wp:posOffset>0</wp:posOffset>
            </wp:positionV>
            <wp:extent cx="1828800" cy="533400"/>
            <wp:effectExtent l="0" t="0" r="0" b="0"/>
            <wp:wrapThrough wrapText="bothSides">
              <wp:wrapPolygon edited="0">
                <wp:start x="0" y="0"/>
                <wp:lineTo x="0" y="20829"/>
                <wp:lineTo x="21375" y="20829"/>
                <wp:lineTo x="21375" y="0"/>
                <wp:lineTo x="0" y="0"/>
              </wp:wrapPolygon>
            </wp:wrapThrough>
            <wp:docPr id="2483967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533400"/>
                    </a:xfrm>
                    <a:prstGeom prst="rect">
                      <a:avLst/>
                    </a:prstGeom>
                    <a:noFill/>
                    <a:ln>
                      <a:noFill/>
                    </a:ln>
                  </pic:spPr>
                </pic:pic>
              </a:graphicData>
            </a:graphic>
            <wp14:sizeRelH relativeFrom="margin">
              <wp14:pctWidth>0</wp14:pctWidth>
            </wp14:sizeRelH>
          </wp:anchor>
        </w:drawing>
      </w:r>
      <w:r w:rsidR="00000000">
        <w:rPr>
          <w:noProof/>
        </w:rPr>
        <w:pict w14:anchorId="29D080C1">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o:lock v:ext="edit" aspectratio="t" verticies="t" text="t" shapetype="t"/>
            <v:textbox>
              <w:txbxContent>
                <w:p w14:paraId="6EB3FA50" w14:textId="22CB35F3" w:rsidR="00101796" w:rsidRPr="000C6912" w:rsidRDefault="00101796">
                  <w:pPr>
                    <w:rPr>
                      <w:rFonts w:ascii="Roboto" w:hAnsi="Roboto"/>
                      <w:color w:val="0F2B46"/>
                      <w:sz w:val="28"/>
                    </w:rPr>
                  </w:pPr>
                </w:p>
              </w:txbxContent>
            </v:textbox>
            <w10:wrap anchorx="page" anchory="page"/>
          </v:shape>
        </w:pict>
      </w:r>
      <w:r w:rsidR="00000000">
        <w:pict w14:anchorId="3EE823DC">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5D0F2E9A" w14:textId="4C9101AB" w:rsidR="002E68E2" w:rsidRDefault="002E68E2">
      <w:pPr>
        <w:jc w:val="right"/>
        <w:rPr>
          <w:rFonts w:ascii="Times New Roman" w:hAnsi="Times New Roman" w:cs="Times New Roman"/>
          <w:b/>
          <w:bCs/>
          <w:spacing w:val="2"/>
          <w:sz w:val="52"/>
          <w:szCs w:val="52"/>
        </w:rPr>
      </w:pPr>
    </w:p>
    <w:p w14:paraId="2A7BAD3A" w14:textId="7C334D46" w:rsidR="002E68E2" w:rsidRDefault="002E68E2">
      <w:pPr>
        <w:rPr>
          <w:rFonts w:ascii="Times New Roman" w:hAnsi="Times New Roman" w:cs="Times New Roman"/>
          <w:b/>
          <w:bCs/>
          <w:spacing w:val="2"/>
          <w:sz w:val="52"/>
          <w:szCs w:val="52"/>
        </w:rPr>
      </w:pPr>
    </w:p>
    <w:p w14:paraId="65B15765" w14:textId="784428A4" w:rsidR="002E68E2" w:rsidRDefault="002E68E2">
      <w:pPr>
        <w:spacing w:line="600" w:lineRule="exact"/>
        <w:jc w:val="center"/>
        <w:rPr>
          <w:rFonts w:ascii="Times New Roman" w:hAnsi="Times New Roman" w:cs="Times New Roman"/>
          <w:b/>
          <w:bCs/>
          <w:spacing w:val="2"/>
          <w:sz w:val="52"/>
          <w:szCs w:val="52"/>
        </w:rPr>
      </w:pPr>
    </w:p>
    <w:p w14:paraId="5F72A8EA" w14:textId="5A6B2368" w:rsidR="002E68E2" w:rsidRPr="00A7040D" w:rsidRDefault="00DA5928" w:rsidP="00A7040D">
      <w:pPr>
        <w:jc w:val="center"/>
        <w:rPr>
          <w:rFonts w:ascii="Times New Roman" w:eastAsia="黑体" w:hAnsi="Times New Roman" w:cs="Times New Roman"/>
          <w:b/>
          <w:bCs/>
          <w:sz w:val="52"/>
          <w:szCs w:val="52"/>
        </w:rPr>
      </w:pPr>
      <w:r w:rsidRPr="00DA5928">
        <w:rPr>
          <w:rFonts w:ascii="Times New Roman" w:eastAsia="黑体" w:hAnsi="Times New Roman" w:cs="Times New Roman"/>
          <w:b/>
          <w:bCs/>
          <w:sz w:val="52"/>
          <w:szCs w:val="52"/>
          <w:lang w:val="en-GB"/>
        </w:rPr>
        <w:t>Toenergy Technology Hangzhou Co.,Ltd</w:t>
      </w:r>
      <w:r>
        <w:rPr>
          <w:rFonts w:ascii="Times New Roman" w:eastAsia="黑体" w:hAnsi="Times New Roman" w:cs="Times New Roman" w:hint="eastAsia"/>
          <w:b/>
          <w:bCs/>
          <w:sz w:val="52"/>
          <w:szCs w:val="52"/>
          <w:lang w:val="en-GB"/>
        </w:rPr>
        <w:t>.</w:t>
      </w:r>
    </w:p>
    <w:p w14:paraId="4CC6F013" w14:textId="5D740057" w:rsidR="002E68E2" w:rsidRDefault="00000000">
      <w:pPr>
        <w:spacing w:line="600" w:lineRule="exact"/>
        <w:jc w:val="center"/>
        <w:rPr>
          <w:rFonts w:ascii="Times New Roman" w:hAnsi="Times New Roman" w:cs="Times New Roman"/>
          <w:sz w:val="52"/>
          <w:szCs w:val="52"/>
        </w:rPr>
      </w:pPr>
      <w:r>
        <w:rPr>
          <w:rFonts w:ascii="Times New Roman" w:eastAsia="黑体" w:hAnsi="Times New Roman" w:cs="Times New Roman"/>
          <w:b/>
          <w:bCs/>
          <w:sz w:val="52"/>
          <w:szCs w:val="52"/>
        </w:rPr>
        <w:t>2025 Carbon Inventory Report</w:t>
      </w:r>
    </w:p>
    <w:p w14:paraId="06F4E54B" w14:textId="77777777" w:rsidR="002E68E2" w:rsidRDefault="002E68E2">
      <w:pPr>
        <w:spacing w:before="185" w:line="625" w:lineRule="exact"/>
        <w:ind w:left="4"/>
        <w:jc w:val="center"/>
        <w:rPr>
          <w:rFonts w:ascii="Times New Roman" w:hAnsi="Times New Roman" w:cs="Times New Roman"/>
          <w:b/>
          <w:bCs/>
          <w:sz w:val="36"/>
          <w:szCs w:val="36"/>
        </w:rPr>
      </w:pPr>
    </w:p>
    <w:p w14:paraId="7C0D204B" w14:textId="77777777" w:rsidR="002E68E2" w:rsidRDefault="002E68E2">
      <w:pPr>
        <w:spacing w:before="185" w:line="625" w:lineRule="exact"/>
        <w:ind w:left="4"/>
        <w:jc w:val="center"/>
        <w:rPr>
          <w:rFonts w:ascii="Times New Roman" w:hAnsi="Times New Roman" w:cs="Times New Roman"/>
          <w:b/>
          <w:bCs/>
          <w:sz w:val="36"/>
          <w:szCs w:val="36"/>
        </w:rPr>
      </w:pPr>
    </w:p>
    <w:p w14:paraId="1E9CEA57" w14:textId="77777777" w:rsidR="002E68E2" w:rsidRDefault="002E68E2">
      <w:pPr>
        <w:spacing w:before="185" w:line="625" w:lineRule="exact"/>
        <w:ind w:left="4"/>
        <w:jc w:val="center"/>
        <w:rPr>
          <w:rFonts w:ascii="Times New Roman" w:hAnsi="Times New Roman" w:cs="Times New Roman"/>
          <w:b/>
          <w:bCs/>
          <w:sz w:val="36"/>
          <w:szCs w:val="36"/>
        </w:rPr>
      </w:pPr>
    </w:p>
    <w:p w14:paraId="04D6C049" w14:textId="77777777" w:rsidR="002E68E2" w:rsidRDefault="002E68E2">
      <w:pPr>
        <w:rPr>
          <w:rFonts w:ascii="Times New Roman" w:hAnsi="Times New Roman" w:cs="Times New Roman"/>
          <w:b/>
          <w:bCs/>
          <w:sz w:val="52"/>
          <w:szCs w:val="52"/>
        </w:rPr>
      </w:pPr>
    </w:p>
    <w:p w14:paraId="3D9B583B" w14:textId="77777777" w:rsidR="002E68E2" w:rsidRDefault="002E68E2">
      <w:pPr>
        <w:rPr>
          <w:rFonts w:ascii="Times New Roman" w:hAnsi="Times New Roman" w:cs="Times New Roman"/>
          <w:b/>
          <w:bCs/>
          <w:sz w:val="52"/>
          <w:szCs w:val="52"/>
        </w:rPr>
      </w:pPr>
    </w:p>
    <w:p w14:paraId="0B94B39E" w14:textId="77777777" w:rsidR="002E68E2" w:rsidRDefault="002E68E2">
      <w:pPr>
        <w:rPr>
          <w:rFonts w:ascii="Times New Roman" w:hAnsi="Times New Roman" w:cs="Times New Roman"/>
          <w:b/>
          <w:bCs/>
          <w:sz w:val="52"/>
          <w:szCs w:val="52"/>
        </w:rPr>
      </w:pPr>
    </w:p>
    <w:p w14:paraId="62BB6241" w14:textId="77777777" w:rsidR="002E68E2" w:rsidRDefault="002E68E2">
      <w:pPr>
        <w:rPr>
          <w:rFonts w:ascii="Times New Roman" w:hAnsi="Times New Roman" w:cs="Times New Roman"/>
          <w:b/>
          <w:bCs/>
          <w:sz w:val="52"/>
          <w:szCs w:val="52"/>
        </w:rPr>
      </w:pPr>
    </w:p>
    <w:p w14:paraId="49B537BF" w14:textId="77777777" w:rsidR="002E68E2" w:rsidRDefault="002E68E2">
      <w:pPr>
        <w:rPr>
          <w:rFonts w:ascii="Times New Roman" w:hAnsi="Times New Roman" w:cs="Times New Roman"/>
          <w:b/>
          <w:bCs/>
          <w:sz w:val="52"/>
          <w:szCs w:val="52"/>
        </w:rPr>
      </w:pPr>
    </w:p>
    <w:p w14:paraId="624775E5" w14:textId="77777777" w:rsidR="002548AD" w:rsidRDefault="002548AD">
      <w:pPr>
        <w:spacing w:line="480" w:lineRule="auto"/>
        <w:jc w:val="center"/>
        <w:rPr>
          <w:rFonts w:ascii="Times New Roman" w:eastAsia="黑体" w:hAnsi="Times New Roman" w:cs="Times New Roman"/>
          <w:b/>
          <w:bCs/>
          <w:sz w:val="36"/>
          <w:szCs w:val="36"/>
        </w:rPr>
      </w:pPr>
      <w:r w:rsidRPr="002548AD">
        <w:rPr>
          <w:rFonts w:ascii="Times New Roman" w:eastAsia="黑体" w:hAnsi="Times New Roman" w:cs="Times New Roman"/>
          <w:b/>
          <w:bCs/>
          <w:sz w:val="36"/>
          <w:szCs w:val="36"/>
        </w:rPr>
        <w:t>Toenergy Technology Hangzhou Co.,Ltd</w:t>
      </w:r>
    </w:p>
    <w:p w14:paraId="5341C3C4" w14:textId="4E565D55" w:rsidR="002E68E2" w:rsidRDefault="00000000">
      <w:pPr>
        <w:spacing w:line="480" w:lineRule="auto"/>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t xml:space="preserve"> March 2026</w:t>
      </w:r>
    </w:p>
    <w:p w14:paraId="7CD1E188" w14:textId="77777777" w:rsidR="002E68E2" w:rsidRDefault="002E68E2">
      <w:pPr>
        <w:pStyle w:val="1"/>
        <w:sectPr w:rsidR="002E68E2">
          <w:headerReference w:type="default" r:id="rId9"/>
          <w:footerReference w:type="default" r:id="rId10"/>
          <w:pgSz w:w="12240" w:h="15840"/>
          <w:pgMar w:top="1440" w:right="1800" w:bottom="1440" w:left="1800" w:header="708" w:footer="708" w:gutter="0"/>
          <w:cols w:space="708"/>
          <w:titlePg/>
          <w:docGrid w:linePitch="360"/>
        </w:sectPr>
      </w:pPr>
    </w:p>
    <w:p w14:paraId="1AC6298D" w14:textId="77777777" w:rsidR="002E68E2" w:rsidRDefault="00000000">
      <w:pPr>
        <w:pStyle w:val="TOC1"/>
        <w:rPr>
          <w:rFonts w:ascii="Times New Roman" w:eastAsia="宋体" w:hAnsi="Times New Roman"/>
          <w:b/>
          <w:sz w:val="36"/>
          <w:szCs w:val="36"/>
          <w:lang w:eastAsia="zh-CN"/>
        </w:rPr>
      </w:pPr>
      <w:r>
        <w:rPr>
          <w:rFonts w:ascii="Times New Roman" w:eastAsia="宋体" w:hAnsi="Times New Roman"/>
          <w:b/>
          <w:sz w:val="36"/>
          <w:szCs w:val="36"/>
          <w:lang w:eastAsia="zh-CN"/>
        </w:rPr>
        <w:lastRenderedPageBreak/>
        <w:t xml:space="preserve"> Table of Contents</w:t>
      </w:r>
    </w:p>
    <w:p w14:paraId="3F34C58A" w14:textId="021F547B" w:rsidR="002E68E2" w:rsidRDefault="005E17AB">
      <w:pPr>
        <w:pStyle w:val="TOC1"/>
        <w:tabs>
          <w:tab w:val="clear" w:pos="9356"/>
          <w:tab w:val="right" w:leader="dot" w:pos="8640"/>
        </w:tabs>
        <w:rPr>
          <w:rFonts w:ascii="Times New Roman" w:eastAsia="宋体" w:hAnsi="Times New Roman"/>
          <w:sz w:val="28"/>
          <w:szCs w:val="28"/>
        </w:rPr>
      </w:pPr>
      <w:r>
        <w:rPr>
          <w:rFonts w:ascii="Times New Roman" w:eastAsia="宋体" w:hAnsi="Times New Roman" w:hint="eastAsia"/>
          <w:sz w:val="28"/>
          <w:szCs w:val="28"/>
          <w:lang w:eastAsia="zh-CN"/>
        </w:rPr>
        <w:t>1</w:t>
      </w:r>
      <w:r>
        <w:rPr>
          <w:rFonts w:ascii="Times New Roman" w:eastAsia="宋体" w:hAnsi="Times New Roman" w:hint="eastAsia"/>
          <w:sz w:val="28"/>
          <w:szCs w:val="28"/>
          <w:lang w:eastAsia="zh-CN"/>
        </w:rPr>
        <w:t>、</w:t>
      </w:r>
      <w:r w:rsidRPr="005E17AB">
        <w:rPr>
          <w:rFonts w:ascii="Times New Roman" w:eastAsia="宋体" w:hAnsi="Times New Roman"/>
          <w:sz w:val="28"/>
          <w:szCs w:val="28"/>
        </w:rPr>
        <w:t>Foreword</w:t>
      </w:r>
      <w:r>
        <w:rPr>
          <w:rFonts w:ascii="Times New Roman" w:eastAsia="宋体" w:hAnsi="Times New Roman"/>
          <w:sz w:val="28"/>
          <w:szCs w:val="28"/>
        </w:rPr>
        <w:t xml:space="preserve"> </w:t>
      </w:r>
      <w:r w:rsidR="00000000">
        <w:rPr>
          <w:rFonts w:ascii="Times New Roman" w:eastAsia="宋体" w:hAnsi="Times New Roman"/>
          <w:sz w:val="28"/>
          <w:szCs w:val="28"/>
        </w:rPr>
        <w:fldChar w:fldCharType="begin"/>
      </w:r>
      <w:r>
        <w:rPr>
          <w:rFonts w:ascii="Times New Roman" w:eastAsia="宋体" w:hAnsi="Times New Roman"/>
          <w:sz w:val="28"/>
          <w:szCs w:val="28"/>
        </w:rPr>
        <w:instrText xml:space="preserve"> TOC \o "1-3" \h \z \u </w:instrText>
      </w:r>
      <w:r w:rsidR="00000000">
        <w:rPr>
          <w:rFonts w:ascii="Times New Roman" w:eastAsia="宋体" w:hAnsi="Times New Roman"/>
          <w:sz w:val="28"/>
          <w:szCs w:val="28"/>
        </w:rPr>
        <w:fldChar w:fldCharType="separate"/>
      </w:r>
      <w:hyperlink w:anchor="_Toc28820" w:history="1">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_Toc28820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1</w:t>
        </w:r>
        <w:r>
          <w:rPr>
            <w:rFonts w:ascii="Times New Roman" w:eastAsia="宋体" w:hAnsi="Times New Roman"/>
            <w:sz w:val="28"/>
            <w:szCs w:val="28"/>
          </w:rPr>
          <w:fldChar w:fldCharType="end"/>
        </w:r>
      </w:hyperlink>
    </w:p>
    <w:p w14:paraId="668B0543" w14:textId="36D37E58" w:rsidR="002E68E2" w:rsidRDefault="005E17AB">
      <w:pPr>
        <w:pStyle w:val="TOC2"/>
        <w:tabs>
          <w:tab w:val="clear" w:pos="9356"/>
          <w:tab w:val="right" w:leader="dot" w:pos="8640"/>
        </w:tabs>
        <w:rPr>
          <w:rFonts w:eastAsia="宋体"/>
          <w:sz w:val="28"/>
          <w:szCs w:val="28"/>
        </w:rPr>
      </w:pPr>
      <w:r w:rsidRPr="005E17AB">
        <w:rPr>
          <w:rFonts w:eastAsia="宋体"/>
          <w:sz w:val="28"/>
          <w:szCs w:val="28"/>
        </w:rPr>
        <w:t>1.1 Company Profile</w:t>
      </w:r>
      <w:r>
        <w:rPr>
          <w:rFonts w:eastAsia="宋体"/>
          <w:sz w:val="28"/>
          <w:szCs w:val="28"/>
        </w:rPr>
        <w:t xml:space="preserve"> </w:t>
      </w:r>
      <w:hyperlink w:anchor="_Toc5240" w:history="1">
        <w:r>
          <w:rPr>
            <w:rFonts w:eastAsia="宋体"/>
            <w:sz w:val="28"/>
            <w:szCs w:val="28"/>
          </w:rPr>
          <w:tab/>
        </w:r>
        <w:r>
          <w:rPr>
            <w:rFonts w:eastAsia="宋体"/>
            <w:sz w:val="28"/>
            <w:szCs w:val="28"/>
          </w:rPr>
          <w:fldChar w:fldCharType="begin"/>
        </w:r>
        <w:r>
          <w:rPr>
            <w:rFonts w:eastAsia="宋体"/>
            <w:sz w:val="28"/>
            <w:szCs w:val="28"/>
          </w:rPr>
          <w:instrText xml:space="preserve"> PAGEREF _Toc5240 \h </w:instrText>
        </w:r>
        <w:r>
          <w:rPr>
            <w:rFonts w:eastAsia="宋体"/>
            <w:sz w:val="28"/>
            <w:szCs w:val="28"/>
          </w:rPr>
        </w:r>
        <w:r>
          <w:rPr>
            <w:rFonts w:eastAsia="宋体"/>
            <w:sz w:val="28"/>
            <w:szCs w:val="28"/>
          </w:rPr>
          <w:fldChar w:fldCharType="separate"/>
        </w:r>
        <w:r>
          <w:rPr>
            <w:rFonts w:eastAsia="宋体"/>
            <w:sz w:val="28"/>
            <w:szCs w:val="28"/>
          </w:rPr>
          <w:t>1</w:t>
        </w:r>
        <w:r>
          <w:rPr>
            <w:rFonts w:eastAsia="宋体"/>
            <w:sz w:val="28"/>
            <w:szCs w:val="28"/>
          </w:rPr>
          <w:fldChar w:fldCharType="end"/>
        </w:r>
      </w:hyperlink>
    </w:p>
    <w:p w14:paraId="7E55DC23" w14:textId="1CEBF8AD" w:rsidR="002E68E2" w:rsidRDefault="005E17AB">
      <w:pPr>
        <w:pStyle w:val="TOC1"/>
        <w:tabs>
          <w:tab w:val="clear" w:pos="9356"/>
          <w:tab w:val="right" w:leader="dot" w:pos="8640"/>
        </w:tabs>
        <w:rPr>
          <w:rFonts w:ascii="Times New Roman" w:eastAsia="宋体" w:hAnsi="Times New Roman"/>
          <w:sz w:val="28"/>
          <w:szCs w:val="28"/>
        </w:rPr>
      </w:pPr>
      <w:r>
        <w:rPr>
          <w:rFonts w:ascii="Times New Roman" w:eastAsia="宋体" w:hAnsi="Times New Roman" w:hint="eastAsia"/>
          <w:sz w:val="28"/>
          <w:szCs w:val="28"/>
          <w:lang w:eastAsia="zh-CN"/>
        </w:rPr>
        <w:t>2</w:t>
      </w:r>
      <w:r>
        <w:rPr>
          <w:rFonts w:ascii="Times New Roman" w:eastAsia="宋体" w:hAnsi="Times New Roman" w:hint="eastAsia"/>
          <w:sz w:val="28"/>
          <w:szCs w:val="28"/>
          <w:lang w:eastAsia="zh-CN"/>
        </w:rPr>
        <w:t>、</w:t>
      </w:r>
      <w:r>
        <w:rPr>
          <w:rFonts w:ascii="Times New Roman" w:eastAsia="宋体" w:hAnsi="Times New Roman"/>
          <w:sz w:val="28"/>
          <w:szCs w:val="28"/>
        </w:rPr>
        <w:t xml:space="preserve"> </w:t>
      </w:r>
      <w:r w:rsidRPr="005E17AB">
        <w:rPr>
          <w:rFonts w:ascii="Times New Roman" w:eastAsia="宋体" w:hAnsi="Times New Roman"/>
          <w:sz w:val="28"/>
          <w:szCs w:val="28"/>
        </w:rPr>
        <w:t>Explanations on Compilation of Greenhouse Gas Inventory Report</w:t>
      </w:r>
      <w:hyperlink w:anchor="_Toc17686" w:history="1">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_Toc17686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3</w:t>
        </w:r>
        <w:r>
          <w:rPr>
            <w:rFonts w:ascii="Times New Roman" w:eastAsia="宋体" w:hAnsi="Times New Roman"/>
            <w:sz w:val="28"/>
            <w:szCs w:val="28"/>
          </w:rPr>
          <w:fldChar w:fldCharType="end"/>
        </w:r>
      </w:hyperlink>
    </w:p>
    <w:p w14:paraId="3EEB3422" w14:textId="0FAEDA2C" w:rsidR="002E68E2" w:rsidRDefault="005E17AB">
      <w:pPr>
        <w:pStyle w:val="TOC2"/>
        <w:tabs>
          <w:tab w:val="clear" w:pos="9356"/>
          <w:tab w:val="right" w:leader="dot" w:pos="8640"/>
        </w:tabs>
        <w:rPr>
          <w:rFonts w:eastAsia="宋体"/>
          <w:sz w:val="28"/>
          <w:szCs w:val="28"/>
        </w:rPr>
      </w:pPr>
      <w:r w:rsidRPr="005E17AB">
        <w:rPr>
          <w:rFonts w:eastAsia="宋体"/>
          <w:sz w:val="28"/>
          <w:szCs w:val="28"/>
        </w:rPr>
        <w:t>2.1 Objectives of the Report</w:t>
      </w:r>
      <w:hyperlink w:anchor="_Toc12362" w:history="1">
        <w:r>
          <w:rPr>
            <w:rFonts w:eastAsia="宋体"/>
            <w:sz w:val="28"/>
            <w:szCs w:val="28"/>
          </w:rPr>
          <w:tab/>
        </w:r>
        <w:r>
          <w:rPr>
            <w:rFonts w:eastAsia="宋体"/>
            <w:sz w:val="28"/>
            <w:szCs w:val="28"/>
          </w:rPr>
          <w:fldChar w:fldCharType="begin"/>
        </w:r>
        <w:r>
          <w:rPr>
            <w:rFonts w:eastAsia="宋体"/>
            <w:sz w:val="28"/>
            <w:szCs w:val="28"/>
          </w:rPr>
          <w:instrText xml:space="preserve"> PAGEREF _Toc12362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603BDB49" w14:textId="3F37E758" w:rsidR="002E68E2" w:rsidRDefault="005E17AB">
      <w:pPr>
        <w:pStyle w:val="TOC2"/>
        <w:tabs>
          <w:tab w:val="clear" w:pos="9356"/>
          <w:tab w:val="right" w:leader="dot" w:pos="8640"/>
        </w:tabs>
        <w:rPr>
          <w:rFonts w:eastAsia="宋体"/>
          <w:sz w:val="28"/>
          <w:szCs w:val="28"/>
        </w:rPr>
      </w:pPr>
      <w:r w:rsidRPr="005E17AB">
        <w:rPr>
          <w:rFonts w:eastAsia="宋体"/>
          <w:sz w:val="28"/>
          <w:szCs w:val="28"/>
        </w:rPr>
        <w:t>2.2 Compilation Basis of the Report</w:t>
      </w:r>
      <w:hyperlink w:anchor="_Toc16822" w:history="1">
        <w:r>
          <w:rPr>
            <w:rFonts w:eastAsia="宋体"/>
            <w:sz w:val="28"/>
            <w:szCs w:val="28"/>
          </w:rPr>
          <w:tab/>
        </w:r>
        <w:r>
          <w:rPr>
            <w:rFonts w:eastAsia="宋体"/>
            <w:sz w:val="28"/>
            <w:szCs w:val="28"/>
          </w:rPr>
          <w:fldChar w:fldCharType="begin"/>
        </w:r>
        <w:r>
          <w:rPr>
            <w:rFonts w:eastAsia="宋体"/>
            <w:sz w:val="28"/>
            <w:szCs w:val="28"/>
          </w:rPr>
          <w:instrText xml:space="preserve"> PAGEREF _Toc16822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73585EAD" w14:textId="3BE554F9" w:rsidR="002E68E2" w:rsidRDefault="005E17AB">
      <w:pPr>
        <w:pStyle w:val="TOC2"/>
        <w:tabs>
          <w:tab w:val="clear" w:pos="9356"/>
          <w:tab w:val="right" w:leader="dot" w:pos="8640"/>
        </w:tabs>
        <w:rPr>
          <w:rFonts w:eastAsia="宋体"/>
          <w:sz w:val="28"/>
          <w:szCs w:val="28"/>
        </w:rPr>
      </w:pPr>
      <w:r w:rsidRPr="005E17AB">
        <w:rPr>
          <w:rFonts w:eastAsia="宋体"/>
          <w:sz w:val="28"/>
          <w:szCs w:val="28"/>
        </w:rPr>
        <w:t>2.3 Establishment Principles of the Report</w:t>
      </w:r>
      <w:r>
        <w:rPr>
          <w:rFonts w:eastAsia="宋体"/>
          <w:sz w:val="28"/>
          <w:szCs w:val="28"/>
        </w:rPr>
        <w:t xml:space="preserve"> </w:t>
      </w:r>
      <w:hyperlink w:anchor="_Toc30150" w:history="1">
        <w:r>
          <w:rPr>
            <w:rFonts w:eastAsia="宋体"/>
            <w:sz w:val="28"/>
            <w:szCs w:val="28"/>
          </w:rPr>
          <w:tab/>
        </w:r>
        <w:r>
          <w:rPr>
            <w:rFonts w:eastAsia="宋体"/>
            <w:sz w:val="28"/>
            <w:szCs w:val="28"/>
          </w:rPr>
          <w:fldChar w:fldCharType="begin"/>
        </w:r>
        <w:r>
          <w:rPr>
            <w:rFonts w:eastAsia="宋体"/>
            <w:sz w:val="28"/>
            <w:szCs w:val="28"/>
          </w:rPr>
          <w:instrText xml:space="preserve"> PAGEREF _Toc30150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203506EA" w14:textId="5EB2E2AC" w:rsidR="002E68E2" w:rsidRDefault="005E17AB">
      <w:pPr>
        <w:pStyle w:val="TOC2"/>
        <w:tabs>
          <w:tab w:val="clear" w:pos="9356"/>
          <w:tab w:val="right" w:leader="dot" w:pos="8640"/>
        </w:tabs>
        <w:rPr>
          <w:rFonts w:eastAsia="宋体"/>
          <w:sz w:val="28"/>
          <w:szCs w:val="28"/>
        </w:rPr>
      </w:pPr>
      <w:r w:rsidRPr="005E17AB">
        <w:rPr>
          <w:rFonts w:eastAsia="宋体"/>
          <w:sz w:val="28"/>
          <w:szCs w:val="28"/>
        </w:rPr>
        <w:t>2.4 Coverage Period of the Report</w:t>
      </w:r>
      <w:hyperlink w:anchor="_Toc15437" w:history="1">
        <w:r>
          <w:rPr>
            <w:rFonts w:eastAsia="宋体"/>
            <w:sz w:val="28"/>
            <w:szCs w:val="28"/>
          </w:rPr>
          <w:tab/>
        </w:r>
        <w:r>
          <w:rPr>
            <w:rFonts w:eastAsia="宋体"/>
            <w:sz w:val="28"/>
            <w:szCs w:val="28"/>
          </w:rPr>
          <w:fldChar w:fldCharType="begin"/>
        </w:r>
        <w:r>
          <w:rPr>
            <w:rFonts w:eastAsia="宋体"/>
            <w:sz w:val="28"/>
            <w:szCs w:val="28"/>
          </w:rPr>
          <w:instrText xml:space="preserve"> PAGEREF _Toc15437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2D57006C" w14:textId="666C7F7E" w:rsidR="002E68E2" w:rsidRDefault="005E17AB">
      <w:pPr>
        <w:pStyle w:val="TOC2"/>
        <w:tabs>
          <w:tab w:val="clear" w:pos="9356"/>
          <w:tab w:val="right" w:leader="dot" w:pos="8640"/>
        </w:tabs>
        <w:rPr>
          <w:rFonts w:eastAsia="宋体"/>
          <w:sz w:val="28"/>
          <w:szCs w:val="28"/>
        </w:rPr>
      </w:pPr>
      <w:r w:rsidRPr="005E17AB">
        <w:rPr>
          <w:rFonts w:eastAsia="宋体"/>
          <w:sz w:val="28"/>
          <w:szCs w:val="28"/>
        </w:rPr>
        <w:t>2.5 Responsibility for Report Compilation</w:t>
      </w:r>
      <w:hyperlink w:anchor="_Toc11653" w:history="1">
        <w:r>
          <w:rPr>
            <w:rFonts w:eastAsia="宋体"/>
            <w:sz w:val="28"/>
            <w:szCs w:val="28"/>
          </w:rPr>
          <w:tab/>
        </w:r>
        <w:r>
          <w:rPr>
            <w:rFonts w:eastAsia="宋体"/>
            <w:sz w:val="28"/>
            <w:szCs w:val="28"/>
          </w:rPr>
          <w:fldChar w:fldCharType="begin"/>
        </w:r>
        <w:r>
          <w:rPr>
            <w:rFonts w:eastAsia="宋体"/>
            <w:sz w:val="28"/>
            <w:szCs w:val="28"/>
          </w:rPr>
          <w:instrText xml:space="preserve"> PAGEREF _Toc11653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7DB7F8A9" w14:textId="084A4E4D" w:rsidR="002E68E2" w:rsidRDefault="00000000">
      <w:pPr>
        <w:pStyle w:val="TOC1"/>
        <w:tabs>
          <w:tab w:val="clear" w:pos="9356"/>
          <w:tab w:val="right" w:leader="dot" w:pos="8640"/>
        </w:tabs>
        <w:rPr>
          <w:rFonts w:ascii="Times New Roman" w:eastAsia="宋体" w:hAnsi="Times New Roman"/>
          <w:sz w:val="28"/>
          <w:szCs w:val="28"/>
        </w:rPr>
      </w:pPr>
      <w:r>
        <w:rPr>
          <w:rFonts w:ascii="Times New Roman" w:eastAsia="宋体" w:hAnsi="Times New Roman"/>
          <w:sz w:val="28"/>
          <w:szCs w:val="28"/>
        </w:rPr>
        <w:t xml:space="preserve"> </w:t>
      </w:r>
      <w:r w:rsidR="005E17AB">
        <w:rPr>
          <w:rFonts w:ascii="Times New Roman" w:eastAsia="宋体" w:hAnsi="Times New Roman" w:hint="eastAsia"/>
          <w:sz w:val="28"/>
          <w:szCs w:val="28"/>
          <w:lang w:eastAsia="zh-CN"/>
        </w:rPr>
        <w:t>3</w:t>
      </w:r>
      <w:r w:rsidR="005E17AB">
        <w:rPr>
          <w:rFonts w:ascii="Times New Roman" w:eastAsia="宋体" w:hAnsi="Times New Roman" w:hint="eastAsia"/>
          <w:sz w:val="28"/>
          <w:szCs w:val="28"/>
          <w:lang w:eastAsia="zh-CN"/>
        </w:rPr>
        <w:t>、</w:t>
      </w:r>
      <w:r w:rsidR="005E17AB" w:rsidRPr="005E17AB">
        <w:rPr>
          <w:rFonts w:ascii="Times New Roman" w:eastAsia="宋体" w:hAnsi="Times New Roman"/>
          <w:sz w:val="28"/>
          <w:szCs w:val="28"/>
          <w:lang w:eastAsia="zh-CN"/>
        </w:rPr>
        <w:t>Description of Organizational and Operational Boundaries</w:t>
      </w:r>
      <w:hyperlink w:anchor="_Toc1191" w:history="1">
        <w:r w:rsidR="002E68E2">
          <w:rPr>
            <w:rFonts w:ascii="Times New Roman" w:eastAsia="宋体" w:hAnsi="Times New Roman"/>
            <w:sz w:val="28"/>
            <w:szCs w:val="28"/>
          </w:rPr>
          <w:tab/>
        </w:r>
        <w:r w:rsidR="002E68E2">
          <w:rPr>
            <w:rFonts w:ascii="Times New Roman" w:eastAsia="宋体" w:hAnsi="Times New Roman"/>
            <w:sz w:val="28"/>
            <w:szCs w:val="28"/>
          </w:rPr>
          <w:fldChar w:fldCharType="begin"/>
        </w:r>
        <w:r w:rsidR="002E68E2">
          <w:rPr>
            <w:rFonts w:ascii="Times New Roman" w:eastAsia="宋体" w:hAnsi="Times New Roman"/>
            <w:sz w:val="28"/>
            <w:szCs w:val="28"/>
          </w:rPr>
          <w:instrText xml:space="preserve"> PAGEREF _Toc1191 \h </w:instrText>
        </w:r>
        <w:r w:rsidR="002E68E2">
          <w:rPr>
            <w:rFonts w:ascii="Times New Roman" w:eastAsia="宋体" w:hAnsi="Times New Roman"/>
            <w:sz w:val="28"/>
            <w:szCs w:val="28"/>
          </w:rPr>
        </w:r>
        <w:r w:rsidR="002E68E2">
          <w:rPr>
            <w:rFonts w:ascii="Times New Roman" w:eastAsia="宋体" w:hAnsi="Times New Roman"/>
            <w:sz w:val="28"/>
            <w:szCs w:val="28"/>
          </w:rPr>
          <w:fldChar w:fldCharType="separate"/>
        </w:r>
        <w:r w:rsidR="002E68E2">
          <w:rPr>
            <w:rFonts w:ascii="Times New Roman" w:eastAsia="宋体" w:hAnsi="Times New Roman"/>
            <w:sz w:val="28"/>
            <w:szCs w:val="28"/>
          </w:rPr>
          <w:t>4</w:t>
        </w:r>
        <w:r w:rsidR="002E68E2">
          <w:rPr>
            <w:rFonts w:ascii="Times New Roman" w:eastAsia="宋体" w:hAnsi="Times New Roman"/>
            <w:sz w:val="28"/>
            <w:szCs w:val="28"/>
          </w:rPr>
          <w:fldChar w:fldCharType="end"/>
        </w:r>
      </w:hyperlink>
    </w:p>
    <w:p w14:paraId="15CB6BE6" w14:textId="4332EA03" w:rsidR="002E68E2" w:rsidRDefault="005E17AB">
      <w:pPr>
        <w:pStyle w:val="TOC2"/>
        <w:tabs>
          <w:tab w:val="clear" w:pos="9356"/>
          <w:tab w:val="right" w:leader="dot" w:pos="8640"/>
        </w:tabs>
        <w:rPr>
          <w:rFonts w:eastAsia="宋体"/>
          <w:sz w:val="28"/>
          <w:szCs w:val="28"/>
        </w:rPr>
      </w:pPr>
      <w:r w:rsidRPr="005E17AB">
        <w:rPr>
          <w:rFonts w:eastAsia="宋体"/>
          <w:sz w:val="28"/>
          <w:szCs w:val="28"/>
        </w:rPr>
        <w:t xml:space="preserve">3.1 Setting of Organizational Boundaries </w:t>
      </w:r>
      <w:r>
        <w:rPr>
          <w:rFonts w:eastAsia="宋体"/>
          <w:sz w:val="28"/>
          <w:szCs w:val="28"/>
        </w:rPr>
        <w:t xml:space="preserve"> </w:t>
      </w:r>
      <w:hyperlink w:anchor="_Toc21330" w:history="1">
        <w:r>
          <w:rPr>
            <w:rFonts w:eastAsia="宋体"/>
            <w:sz w:val="28"/>
            <w:szCs w:val="28"/>
          </w:rPr>
          <w:tab/>
        </w:r>
        <w:r>
          <w:rPr>
            <w:rFonts w:eastAsia="宋体"/>
            <w:sz w:val="28"/>
            <w:szCs w:val="28"/>
          </w:rPr>
          <w:fldChar w:fldCharType="begin"/>
        </w:r>
        <w:r>
          <w:rPr>
            <w:rFonts w:eastAsia="宋体"/>
            <w:sz w:val="28"/>
            <w:szCs w:val="28"/>
          </w:rPr>
          <w:instrText xml:space="preserve"> PAGEREF _Toc21330 \h </w:instrText>
        </w:r>
        <w:r>
          <w:rPr>
            <w:rFonts w:eastAsia="宋体"/>
            <w:sz w:val="28"/>
            <w:szCs w:val="28"/>
          </w:rPr>
        </w:r>
        <w:r>
          <w:rPr>
            <w:rFonts w:eastAsia="宋体"/>
            <w:sz w:val="28"/>
            <w:szCs w:val="28"/>
          </w:rPr>
          <w:fldChar w:fldCharType="separate"/>
        </w:r>
        <w:r>
          <w:rPr>
            <w:rFonts w:eastAsia="宋体"/>
            <w:sz w:val="28"/>
            <w:szCs w:val="28"/>
          </w:rPr>
          <w:t>4</w:t>
        </w:r>
        <w:r>
          <w:rPr>
            <w:rFonts w:eastAsia="宋体"/>
            <w:sz w:val="28"/>
            <w:szCs w:val="28"/>
          </w:rPr>
          <w:fldChar w:fldCharType="end"/>
        </w:r>
      </w:hyperlink>
    </w:p>
    <w:p w14:paraId="37F71DD0" w14:textId="2B630641"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3.2 Setting of Operational Boundaries</w:t>
      </w:r>
      <w:hyperlink w:anchor="_Toc11727"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_Toc11727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4</w:t>
        </w:r>
        <w:r w:rsidR="002E68E2">
          <w:rPr>
            <w:rFonts w:eastAsia="宋体"/>
            <w:sz w:val="28"/>
            <w:szCs w:val="28"/>
          </w:rPr>
          <w:fldChar w:fldCharType="end"/>
        </w:r>
      </w:hyperlink>
    </w:p>
    <w:p w14:paraId="1E3F8470" w14:textId="7DB36667" w:rsidR="002E68E2" w:rsidRDefault="002E68E2">
      <w:pPr>
        <w:pStyle w:val="TOC3"/>
        <w:tabs>
          <w:tab w:val="clear" w:pos="9356"/>
          <w:tab w:val="right" w:leader="dot" w:pos="8640"/>
        </w:tabs>
        <w:ind w:left="880" w:right="257"/>
        <w:rPr>
          <w:rFonts w:eastAsia="宋体"/>
          <w:sz w:val="28"/>
          <w:szCs w:val="28"/>
        </w:rPr>
      </w:pPr>
      <w:hyperlink w:anchor="_Toc17103" w:history="1">
        <w:r>
          <w:rPr>
            <w:rFonts w:eastAsia="宋体"/>
            <w:sz w:val="28"/>
            <w:szCs w:val="28"/>
          </w:rPr>
          <w:t xml:space="preserve">3.2.1 </w:t>
        </w:r>
        <w:r>
          <w:rPr>
            <w:rFonts w:eastAsia="宋体"/>
            <w:sz w:val="28"/>
            <w:szCs w:val="28"/>
          </w:rPr>
          <w:tab/>
        </w:r>
        <w:r>
          <w:rPr>
            <w:rFonts w:eastAsia="宋体"/>
            <w:sz w:val="28"/>
            <w:szCs w:val="28"/>
          </w:rPr>
          <w:fldChar w:fldCharType="begin"/>
        </w:r>
        <w:r>
          <w:rPr>
            <w:rFonts w:eastAsia="宋体"/>
            <w:sz w:val="28"/>
            <w:szCs w:val="28"/>
          </w:rPr>
          <w:instrText xml:space="preserve"> PAGEREF _Toc17103 \h </w:instrText>
        </w:r>
        <w:r>
          <w:rPr>
            <w:rFonts w:eastAsia="宋体"/>
            <w:sz w:val="28"/>
            <w:szCs w:val="28"/>
          </w:rPr>
        </w:r>
        <w:r>
          <w:rPr>
            <w:rFonts w:eastAsia="宋体"/>
            <w:sz w:val="28"/>
            <w:szCs w:val="28"/>
          </w:rPr>
          <w:fldChar w:fldCharType="separate"/>
        </w:r>
        <w:r>
          <w:rPr>
            <w:rFonts w:eastAsia="宋体"/>
            <w:sz w:val="28"/>
            <w:szCs w:val="28"/>
          </w:rPr>
          <w:t>4</w:t>
        </w:r>
        <w:r>
          <w:rPr>
            <w:rFonts w:eastAsia="宋体"/>
            <w:sz w:val="28"/>
            <w:szCs w:val="28"/>
          </w:rPr>
          <w:fldChar w:fldCharType="end"/>
        </w:r>
      </w:hyperlink>
    </w:p>
    <w:p w14:paraId="05C8884B" w14:textId="77777777" w:rsidR="002E68E2" w:rsidRDefault="002E68E2">
      <w:pPr>
        <w:pStyle w:val="TOC3"/>
        <w:tabs>
          <w:tab w:val="clear" w:pos="9356"/>
          <w:tab w:val="right" w:leader="dot" w:pos="8640"/>
        </w:tabs>
        <w:ind w:left="880" w:right="257"/>
        <w:rPr>
          <w:rFonts w:eastAsia="宋体"/>
          <w:sz w:val="28"/>
          <w:szCs w:val="28"/>
        </w:rPr>
      </w:pPr>
      <w:hyperlink w:anchor="_Toc28309" w:history="1">
        <w:r>
          <w:rPr>
            <w:rFonts w:eastAsia="宋体"/>
            <w:sz w:val="28"/>
            <w:szCs w:val="28"/>
          </w:rPr>
          <w:t xml:space="preserve">3.2.2 </w:t>
        </w:r>
        <w:r>
          <w:rPr>
            <w:rFonts w:eastAsia="宋体"/>
            <w:sz w:val="28"/>
            <w:szCs w:val="28"/>
            <w:lang w:eastAsia="zh-CN"/>
          </w:rPr>
          <w:t xml:space="preserve"> Scope 2 </w:t>
        </w:r>
        <w:r>
          <w:rPr>
            <w:rFonts w:eastAsia="宋体"/>
            <w:sz w:val="28"/>
            <w:szCs w:val="28"/>
          </w:rPr>
          <w:t>Indirect Emissions</w:t>
        </w:r>
        <w:r>
          <w:rPr>
            <w:rFonts w:eastAsia="宋体"/>
            <w:sz w:val="28"/>
            <w:szCs w:val="28"/>
          </w:rPr>
          <w:tab/>
        </w:r>
        <w:r>
          <w:rPr>
            <w:rFonts w:eastAsia="宋体"/>
            <w:sz w:val="28"/>
            <w:szCs w:val="28"/>
          </w:rPr>
          <w:fldChar w:fldCharType="begin"/>
        </w:r>
        <w:r>
          <w:rPr>
            <w:rFonts w:eastAsia="宋体"/>
            <w:sz w:val="28"/>
            <w:szCs w:val="28"/>
          </w:rPr>
          <w:instrText xml:space="preserve"> PAGEREF _Toc28309 \h </w:instrText>
        </w:r>
        <w:r>
          <w:rPr>
            <w:rFonts w:eastAsia="宋体"/>
            <w:sz w:val="28"/>
            <w:szCs w:val="28"/>
          </w:rPr>
        </w:r>
        <w:r>
          <w:rPr>
            <w:rFonts w:eastAsia="宋体"/>
            <w:sz w:val="28"/>
            <w:szCs w:val="28"/>
          </w:rPr>
          <w:fldChar w:fldCharType="separate"/>
        </w:r>
        <w:r>
          <w:rPr>
            <w:rFonts w:eastAsia="宋体"/>
            <w:sz w:val="28"/>
            <w:szCs w:val="28"/>
          </w:rPr>
          <w:t>5</w:t>
        </w:r>
        <w:r>
          <w:rPr>
            <w:rFonts w:eastAsia="宋体"/>
            <w:sz w:val="28"/>
            <w:szCs w:val="28"/>
          </w:rPr>
          <w:fldChar w:fldCharType="end"/>
        </w:r>
      </w:hyperlink>
    </w:p>
    <w:p w14:paraId="79216349" w14:textId="77777777" w:rsidR="002E68E2" w:rsidRDefault="002E68E2">
      <w:pPr>
        <w:pStyle w:val="TOC3"/>
        <w:tabs>
          <w:tab w:val="clear" w:pos="9356"/>
          <w:tab w:val="right" w:leader="dot" w:pos="8640"/>
        </w:tabs>
        <w:ind w:left="880" w:right="257"/>
        <w:rPr>
          <w:rFonts w:eastAsia="宋体"/>
          <w:sz w:val="28"/>
          <w:szCs w:val="28"/>
        </w:rPr>
      </w:pPr>
      <w:hyperlink w:anchor="_Toc25182" w:history="1">
        <w:r>
          <w:rPr>
            <w:rFonts w:eastAsia="宋体"/>
            <w:sz w:val="28"/>
            <w:szCs w:val="28"/>
          </w:rPr>
          <w:t xml:space="preserve">3.2.3 </w:t>
        </w:r>
        <w:r>
          <w:rPr>
            <w:rFonts w:eastAsia="宋体"/>
            <w:sz w:val="28"/>
            <w:szCs w:val="28"/>
            <w:lang w:eastAsia="zh-CN"/>
          </w:rPr>
          <w:t xml:space="preserve"> Scope 3: </w:t>
        </w:r>
        <w:r>
          <w:rPr>
            <w:rFonts w:eastAsia="宋体"/>
            <w:sz w:val="28"/>
            <w:szCs w:val="28"/>
          </w:rPr>
          <w:t>Other Indirect Emissions</w:t>
        </w:r>
        <w:r>
          <w:rPr>
            <w:rFonts w:eastAsia="宋体"/>
            <w:sz w:val="28"/>
            <w:szCs w:val="28"/>
          </w:rPr>
          <w:tab/>
        </w:r>
        <w:r>
          <w:rPr>
            <w:rFonts w:eastAsia="宋体"/>
            <w:sz w:val="28"/>
            <w:szCs w:val="28"/>
          </w:rPr>
          <w:fldChar w:fldCharType="begin"/>
        </w:r>
        <w:r>
          <w:rPr>
            <w:rFonts w:eastAsia="宋体"/>
            <w:sz w:val="28"/>
            <w:szCs w:val="28"/>
          </w:rPr>
          <w:instrText xml:space="preserve"> PAGEREF _Toc25182 \h </w:instrText>
        </w:r>
        <w:r>
          <w:rPr>
            <w:rFonts w:eastAsia="宋体"/>
            <w:sz w:val="28"/>
            <w:szCs w:val="28"/>
          </w:rPr>
        </w:r>
        <w:r>
          <w:rPr>
            <w:rFonts w:eastAsia="宋体"/>
            <w:sz w:val="28"/>
            <w:szCs w:val="28"/>
          </w:rPr>
          <w:fldChar w:fldCharType="separate"/>
        </w:r>
        <w:r>
          <w:rPr>
            <w:rFonts w:eastAsia="宋体"/>
            <w:sz w:val="28"/>
            <w:szCs w:val="28"/>
          </w:rPr>
          <w:t>5</w:t>
        </w:r>
        <w:r>
          <w:rPr>
            <w:rFonts w:eastAsia="宋体"/>
            <w:sz w:val="28"/>
            <w:szCs w:val="28"/>
          </w:rPr>
          <w:fldChar w:fldCharType="end"/>
        </w:r>
      </w:hyperlink>
    </w:p>
    <w:p w14:paraId="10EAD0A6" w14:textId="77777777" w:rsidR="002E68E2" w:rsidRDefault="002E68E2">
      <w:pPr>
        <w:pStyle w:val="TOC2"/>
        <w:tabs>
          <w:tab w:val="clear" w:pos="9356"/>
          <w:tab w:val="right" w:leader="dot" w:pos="8640"/>
        </w:tabs>
        <w:rPr>
          <w:rFonts w:eastAsia="宋体"/>
          <w:sz w:val="28"/>
          <w:szCs w:val="28"/>
        </w:rPr>
      </w:pPr>
      <w:hyperlink w:anchor="_Toc15203" w:history="1">
        <w:r>
          <w:rPr>
            <w:rFonts w:eastAsia="宋体"/>
            <w:sz w:val="28"/>
            <w:szCs w:val="28"/>
          </w:rPr>
          <w:t xml:space="preserve"> 3.3 </w:t>
        </w:r>
        <w:r>
          <w:rPr>
            <w:rFonts w:eastAsia="宋体"/>
            <w:sz w:val="28"/>
            <w:szCs w:val="28"/>
            <w:lang w:eastAsia="zh-CN"/>
          </w:rPr>
          <w:t>Exclusions</w:t>
        </w:r>
        <w:r>
          <w:rPr>
            <w:rFonts w:eastAsia="宋体"/>
            <w:sz w:val="28"/>
            <w:szCs w:val="28"/>
          </w:rPr>
          <w:tab/>
        </w:r>
        <w:r>
          <w:rPr>
            <w:rFonts w:eastAsia="宋体"/>
            <w:sz w:val="28"/>
            <w:szCs w:val="28"/>
          </w:rPr>
          <w:fldChar w:fldCharType="begin"/>
        </w:r>
        <w:r>
          <w:rPr>
            <w:rFonts w:eastAsia="宋体"/>
            <w:sz w:val="28"/>
            <w:szCs w:val="28"/>
          </w:rPr>
          <w:instrText xml:space="preserve"> PAGEREF _Toc15203 \h </w:instrText>
        </w:r>
        <w:r>
          <w:rPr>
            <w:rFonts w:eastAsia="宋体"/>
            <w:sz w:val="28"/>
            <w:szCs w:val="28"/>
          </w:rPr>
        </w:r>
        <w:r>
          <w:rPr>
            <w:rFonts w:eastAsia="宋体"/>
            <w:sz w:val="28"/>
            <w:szCs w:val="28"/>
          </w:rPr>
          <w:fldChar w:fldCharType="separate"/>
        </w:r>
        <w:r>
          <w:rPr>
            <w:rFonts w:eastAsia="宋体"/>
            <w:sz w:val="28"/>
            <w:szCs w:val="28"/>
          </w:rPr>
          <w:t>6</w:t>
        </w:r>
        <w:r>
          <w:rPr>
            <w:rFonts w:eastAsia="宋体"/>
            <w:sz w:val="28"/>
            <w:szCs w:val="28"/>
          </w:rPr>
          <w:fldChar w:fldCharType="end"/>
        </w:r>
      </w:hyperlink>
    </w:p>
    <w:p w14:paraId="1B531DCA" w14:textId="20418496" w:rsidR="002E68E2" w:rsidRDefault="00000000">
      <w:pPr>
        <w:pStyle w:val="TOC1"/>
        <w:tabs>
          <w:tab w:val="clear" w:pos="9356"/>
          <w:tab w:val="right" w:leader="dot" w:pos="8640"/>
        </w:tabs>
        <w:rPr>
          <w:rFonts w:ascii="Times New Roman" w:eastAsia="宋体" w:hAnsi="Times New Roman"/>
          <w:sz w:val="28"/>
          <w:szCs w:val="28"/>
        </w:rPr>
      </w:pPr>
      <w:r>
        <w:rPr>
          <w:rFonts w:ascii="Times New Roman" w:eastAsia="宋体" w:hAnsi="Times New Roman"/>
          <w:sz w:val="28"/>
          <w:szCs w:val="28"/>
        </w:rPr>
        <w:t xml:space="preserve"> </w:t>
      </w:r>
      <w:r w:rsidR="005E17AB">
        <w:rPr>
          <w:rFonts w:ascii="Times New Roman" w:eastAsia="宋体" w:hAnsi="Times New Roman" w:hint="eastAsia"/>
          <w:sz w:val="28"/>
          <w:szCs w:val="28"/>
          <w:lang w:eastAsia="zh-CN"/>
        </w:rPr>
        <w:t>4</w:t>
      </w:r>
      <w:r w:rsidR="005E17AB">
        <w:rPr>
          <w:rFonts w:ascii="Times New Roman" w:eastAsia="宋体" w:hAnsi="Times New Roman" w:hint="eastAsia"/>
          <w:sz w:val="28"/>
          <w:szCs w:val="28"/>
          <w:lang w:eastAsia="zh-CN"/>
        </w:rPr>
        <w:t>、</w:t>
      </w:r>
      <w:r w:rsidR="005E17AB" w:rsidRPr="005E17AB">
        <w:rPr>
          <w:rFonts w:ascii="Times New Roman" w:eastAsia="宋体" w:hAnsi="Times New Roman"/>
          <w:sz w:val="28"/>
          <w:szCs w:val="28"/>
          <w:lang w:eastAsia="zh-CN"/>
        </w:rPr>
        <w:t>Greenhouse Gas Emissions</w:t>
      </w:r>
      <w:hyperlink w:anchor="_Toc1574" w:history="1">
        <w:r w:rsidR="002E68E2">
          <w:rPr>
            <w:rFonts w:ascii="Times New Roman" w:eastAsia="宋体" w:hAnsi="Times New Roman"/>
            <w:sz w:val="28"/>
            <w:szCs w:val="28"/>
          </w:rPr>
          <w:tab/>
        </w:r>
        <w:r w:rsidR="002E68E2">
          <w:rPr>
            <w:rFonts w:ascii="Times New Roman" w:eastAsia="宋体" w:hAnsi="Times New Roman"/>
            <w:sz w:val="28"/>
            <w:szCs w:val="28"/>
          </w:rPr>
          <w:fldChar w:fldCharType="begin"/>
        </w:r>
        <w:r w:rsidR="002E68E2">
          <w:rPr>
            <w:rFonts w:ascii="Times New Roman" w:eastAsia="宋体" w:hAnsi="Times New Roman"/>
            <w:sz w:val="28"/>
            <w:szCs w:val="28"/>
          </w:rPr>
          <w:instrText xml:space="preserve"> PAGEREF _Toc1574 \h </w:instrText>
        </w:r>
        <w:r w:rsidR="002E68E2">
          <w:rPr>
            <w:rFonts w:ascii="Times New Roman" w:eastAsia="宋体" w:hAnsi="Times New Roman"/>
            <w:sz w:val="28"/>
            <w:szCs w:val="28"/>
          </w:rPr>
        </w:r>
        <w:r w:rsidR="002E68E2">
          <w:rPr>
            <w:rFonts w:ascii="Times New Roman" w:eastAsia="宋体" w:hAnsi="Times New Roman"/>
            <w:sz w:val="28"/>
            <w:szCs w:val="28"/>
          </w:rPr>
          <w:fldChar w:fldCharType="separate"/>
        </w:r>
        <w:r w:rsidR="002E68E2">
          <w:rPr>
            <w:rFonts w:ascii="Times New Roman" w:eastAsia="宋体" w:hAnsi="Times New Roman"/>
            <w:sz w:val="28"/>
            <w:szCs w:val="28"/>
          </w:rPr>
          <w:t>7</w:t>
        </w:r>
        <w:r w:rsidR="002E68E2">
          <w:rPr>
            <w:rFonts w:ascii="Times New Roman" w:eastAsia="宋体" w:hAnsi="Times New Roman"/>
            <w:sz w:val="28"/>
            <w:szCs w:val="28"/>
          </w:rPr>
          <w:fldChar w:fldCharType="end"/>
        </w:r>
      </w:hyperlink>
    </w:p>
    <w:p w14:paraId="5EAA8BAC" w14:textId="5993349D"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4.1 Setting of Base Year</w:t>
      </w:r>
      <w:hyperlink w:anchor="_Toc2972"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_Toc2972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7</w:t>
        </w:r>
        <w:r w:rsidR="002E68E2">
          <w:rPr>
            <w:rFonts w:eastAsia="宋体"/>
            <w:sz w:val="28"/>
            <w:szCs w:val="28"/>
          </w:rPr>
          <w:fldChar w:fldCharType="end"/>
        </w:r>
      </w:hyperlink>
    </w:p>
    <w:p w14:paraId="4FBD35A7" w14:textId="20882D8E" w:rsidR="002E68E2" w:rsidRDefault="00000000">
      <w:pPr>
        <w:pStyle w:val="TOC3"/>
        <w:tabs>
          <w:tab w:val="clear" w:pos="9356"/>
          <w:tab w:val="right" w:leader="dot" w:pos="8640"/>
        </w:tabs>
        <w:ind w:left="880" w:right="257"/>
        <w:rPr>
          <w:rFonts w:eastAsia="宋体"/>
          <w:sz w:val="28"/>
          <w:szCs w:val="28"/>
        </w:rPr>
      </w:pPr>
      <w:r>
        <w:rPr>
          <w:rFonts w:eastAsia="宋体"/>
          <w:sz w:val="28"/>
          <w:szCs w:val="28"/>
        </w:rPr>
        <w:t xml:space="preserve"> </w:t>
      </w:r>
      <w:r w:rsidR="005E17AB" w:rsidRPr="005E17AB">
        <w:rPr>
          <w:rFonts w:eastAsia="宋体"/>
          <w:sz w:val="28"/>
          <w:szCs w:val="28"/>
        </w:rPr>
        <w:t xml:space="preserve">4.1.1 Setting of Base Year </w:t>
      </w:r>
      <w:hyperlink w:anchor="_Toc21611"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_Toc21611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7</w:t>
        </w:r>
        <w:r w:rsidR="002E68E2">
          <w:rPr>
            <w:rFonts w:eastAsia="宋体"/>
            <w:sz w:val="28"/>
            <w:szCs w:val="28"/>
          </w:rPr>
          <w:fldChar w:fldCharType="end"/>
        </w:r>
      </w:hyperlink>
    </w:p>
    <w:p w14:paraId="28C01E49" w14:textId="5D7E73C6" w:rsidR="002E68E2" w:rsidRDefault="00000000">
      <w:pPr>
        <w:pStyle w:val="TOC3"/>
        <w:tabs>
          <w:tab w:val="clear" w:pos="9356"/>
          <w:tab w:val="right" w:leader="dot" w:pos="8640"/>
        </w:tabs>
        <w:ind w:left="880" w:right="257"/>
        <w:rPr>
          <w:rFonts w:eastAsia="宋体"/>
          <w:sz w:val="28"/>
          <w:szCs w:val="28"/>
        </w:rPr>
      </w:pPr>
      <w:r>
        <w:rPr>
          <w:rFonts w:eastAsia="宋体"/>
          <w:sz w:val="28"/>
          <w:szCs w:val="28"/>
        </w:rPr>
        <w:t xml:space="preserve"> </w:t>
      </w:r>
      <w:r w:rsidR="005E17AB" w:rsidRPr="005E17AB">
        <w:rPr>
          <w:rFonts w:eastAsia="宋体"/>
          <w:sz w:val="28"/>
          <w:szCs w:val="28"/>
        </w:rPr>
        <w:t>4.1.2 Revision of Base Yea</w:t>
      </w:r>
      <w:hyperlink w:anchor="_Toc3869"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_Toc3869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7</w:t>
        </w:r>
        <w:r w:rsidR="002E68E2">
          <w:rPr>
            <w:rFonts w:eastAsia="宋体"/>
            <w:sz w:val="28"/>
            <w:szCs w:val="28"/>
          </w:rPr>
          <w:fldChar w:fldCharType="end"/>
        </w:r>
      </w:hyperlink>
    </w:p>
    <w:p w14:paraId="6D56AF75" w14:textId="1AB4E711"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4.2 Types of Greenhouse Gases </w:t>
      </w:r>
      <w:hyperlink w:anchor="_Toc32154"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_Toc32154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7</w:t>
        </w:r>
        <w:r w:rsidR="002E68E2">
          <w:rPr>
            <w:rFonts w:eastAsia="宋体"/>
            <w:sz w:val="28"/>
            <w:szCs w:val="28"/>
          </w:rPr>
          <w:fldChar w:fldCharType="end"/>
        </w:r>
      </w:hyperlink>
    </w:p>
    <w:p w14:paraId="31960CA6" w14:textId="58D0BD21" w:rsidR="002E68E2" w:rsidRDefault="002E68E2">
      <w:pPr>
        <w:pStyle w:val="TOC2"/>
        <w:tabs>
          <w:tab w:val="clear" w:pos="9356"/>
          <w:tab w:val="right" w:leader="dot" w:pos="8640"/>
        </w:tabs>
        <w:rPr>
          <w:rFonts w:eastAsia="宋体"/>
          <w:sz w:val="28"/>
          <w:szCs w:val="28"/>
        </w:rPr>
      </w:pPr>
      <w:hyperlink w:anchor="_Toc31894" w:history="1">
        <w:r w:rsidRPr="005E17AB">
          <w:rPr>
            <w:rStyle w:val="aff0"/>
            <w:rFonts w:eastAsia="宋体"/>
            <w:sz w:val="28"/>
            <w:szCs w:val="28"/>
          </w:rPr>
          <w:t xml:space="preserve"> 4.3 </w:t>
        </w:r>
        <w:r w:rsidRPr="005E17AB">
          <w:rPr>
            <w:rStyle w:val="aff0"/>
            <w:rFonts w:eastAsia="宋体"/>
            <w:sz w:val="28"/>
            <w:szCs w:val="28"/>
            <w:lang w:eastAsia="zh-CN"/>
          </w:rPr>
          <w:t xml:space="preserve">Quantification of </w:t>
        </w:r>
        <w:r>
          <w:rPr>
            <w:rStyle w:val="aff0"/>
            <w:rFonts w:eastAsia="宋体" w:hint="eastAsia"/>
            <w:sz w:val="28"/>
            <w:szCs w:val="28"/>
            <w:lang w:eastAsia="zh-CN"/>
          </w:rPr>
          <w:t xml:space="preserve"> </w:t>
        </w:r>
        <w:r w:rsidRPr="005E17AB">
          <w:rPr>
            <w:rStyle w:val="aff0"/>
            <w:rFonts w:eastAsia="宋体"/>
            <w:sz w:val="28"/>
            <w:szCs w:val="28"/>
            <w:lang w:eastAsia="zh-CN"/>
          </w:rPr>
          <w:t>Greenhouse Gas Emissions</w:t>
        </w:r>
        <w:r w:rsidRPr="005E17AB">
          <w:rPr>
            <w:rStyle w:val="aff0"/>
            <w:rFonts w:eastAsia="宋体"/>
            <w:sz w:val="28"/>
            <w:szCs w:val="28"/>
          </w:rPr>
          <w:tab/>
        </w:r>
        <w:r w:rsidRPr="005E17AB">
          <w:rPr>
            <w:rStyle w:val="aff0"/>
            <w:rFonts w:eastAsia="宋体"/>
            <w:sz w:val="28"/>
            <w:szCs w:val="28"/>
          </w:rPr>
          <w:fldChar w:fldCharType="begin"/>
        </w:r>
        <w:r w:rsidRPr="005E17AB">
          <w:rPr>
            <w:rStyle w:val="aff0"/>
            <w:rFonts w:eastAsia="宋体"/>
            <w:sz w:val="28"/>
            <w:szCs w:val="28"/>
          </w:rPr>
          <w:instrText xml:space="preserve"> PAGEREF _Toc31894 \h </w:instrText>
        </w:r>
        <w:r w:rsidRPr="005E17AB">
          <w:rPr>
            <w:rStyle w:val="aff0"/>
            <w:rFonts w:eastAsia="宋体"/>
            <w:sz w:val="28"/>
            <w:szCs w:val="28"/>
          </w:rPr>
        </w:r>
        <w:r w:rsidRPr="005E17AB">
          <w:rPr>
            <w:rStyle w:val="aff0"/>
            <w:rFonts w:eastAsia="宋体"/>
            <w:sz w:val="28"/>
            <w:szCs w:val="28"/>
          </w:rPr>
          <w:fldChar w:fldCharType="separate"/>
        </w:r>
        <w:r w:rsidRPr="005E17AB">
          <w:rPr>
            <w:rStyle w:val="aff0"/>
            <w:rFonts w:eastAsia="宋体"/>
            <w:sz w:val="28"/>
            <w:szCs w:val="28"/>
          </w:rPr>
          <w:t>7</w:t>
        </w:r>
        <w:r w:rsidRPr="005E17AB">
          <w:rPr>
            <w:rStyle w:val="aff0"/>
            <w:rFonts w:eastAsia="宋体"/>
            <w:sz w:val="28"/>
            <w:szCs w:val="28"/>
          </w:rPr>
          <w:fldChar w:fldCharType="end"/>
        </w:r>
      </w:hyperlink>
    </w:p>
    <w:p w14:paraId="646FFA91" w14:textId="2722D0DD" w:rsidR="002E68E2" w:rsidRDefault="005E17AB">
      <w:pPr>
        <w:pStyle w:val="TOC3"/>
        <w:tabs>
          <w:tab w:val="clear" w:pos="9356"/>
          <w:tab w:val="right" w:leader="dot" w:pos="8640"/>
        </w:tabs>
        <w:ind w:left="880" w:right="257"/>
        <w:rPr>
          <w:rFonts w:eastAsia="宋体"/>
          <w:sz w:val="28"/>
          <w:szCs w:val="28"/>
        </w:rPr>
      </w:pPr>
      <w:r w:rsidRPr="005E17AB">
        <w:rPr>
          <w:rFonts w:eastAsia="宋体"/>
          <w:sz w:val="28"/>
          <w:szCs w:val="28"/>
        </w:rPr>
        <w:t xml:space="preserve">4.3.1 Identification of Emission Sources </w:t>
      </w:r>
      <w:hyperlink w:anchor="_Toc28084" w:history="1">
        <w:r>
          <w:rPr>
            <w:rFonts w:eastAsia="宋体"/>
            <w:sz w:val="28"/>
            <w:szCs w:val="28"/>
          </w:rPr>
          <w:tab/>
        </w:r>
        <w:r>
          <w:rPr>
            <w:rFonts w:eastAsia="宋体"/>
            <w:sz w:val="28"/>
            <w:szCs w:val="28"/>
          </w:rPr>
          <w:fldChar w:fldCharType="begin"/>
        </w:r>
        <w:r>
          <w:rPr>
            <w:rFonts w:eastAsia="宋体"/>
            <w:sz w:val="28"/>
            <w:szCs w:val="28"/>
          </w:rPr>
          <w:instrText xml:space="preserve"> PAGEREF _Toc28084 \h </w:instrText>
        </w:r>
        <w:r>
          <w:rPr>
            <w:rFonts w:eastAsia="宋体"/>
            <w:sz w:val="28"/>
            <w:szCs w:val="28"/>
          </w:rPr>
        </w:r>
        <w:r>
          <w:rPr>
            <w:rFonts w:eastAsia="宋体"/>
            <w:sz w:val="28"/>
            <w:szCs w:val="28"/>
          </w:rPr>
          <w:fldChar w:fldCharType="separate"/>
        </w:r>
        <w:r>
          <w:rPr>
            <w:rFonts w:eastAsia="宋体"/>
            <w:sz w:val="28"/>
            <w:szCs w:val="28"/>
          </w:rPr>
          <w:t>8</w:t>
        </w:r>
        <w:r>
          <w:rPr>
            <w:rFonts w:eastAsia="宋体"/>
            <w:sz w:val="28"/>
            <w:szCs w:val="28"/>
          </w:rPr>
          <w:fldChar w:fldCharType="end"/>
        </w:r>
      </w:hyperlink>
    </w:p>
    <w:p w14:paraId="36EC8AB5" w14:textId="77777777" w:rsidR="002E68E2" w:rsidRDefault="002E68E2">
      <w:pPr>
        <w:pStyle w:val="TOC3"/>
        <w:tabs>
          <w:tab w:val="clear" w:pos="9356"/>
          <w:tab w:val="right" w:leader="dot" w:pos="8640"/>
        </w:tabs>
        <w:ind w:left="880" w:right="257"/>
        <w:rPr>
          <w:rFonts w:eastAsia="宋体"/>
          <w:sz w:val="28"/>
          <w:szCs w:val="28"/>
        </w:rPr>
      </w:pPr>
      <w:hyperlink w:anchor="_Toc10196" w:history="1">
        <w:r>
          <w:rPr>
            <w:rFonts w:eastAsia="宋体"/>
            <w:sz w:val="28"/>
            <w:szCs w:val="28"/>
          </w:rPr>
          <w:t>4.3.2 Global Warming Potential (GWP)</w:t>
        </w:r>
        <w:r>
          <w:rPr>
            <w:rFonts w:eastAsia="宋体"/>
            <w:sz w:val="28"/>
            <w:szCs w:val="28"/>
          </w:rPr>
          <w:tab/>
        </w:r>
        <w:r>
          <w:rPr>
            <w:rFonts w:eastAsia="宋体"/>
            <w:sz w:val="28"/>
            <w:szCs w:val="28"/>
          </w:rPr>
          <w:fldChar w:fldCharType="begin"/>
        </w:r>
        <w:r>
          <w:rPr>
            <w:rFonts w:eastAsia="宋体"/>
            <w:sz w:val="28"/>
            <w:szCs w:val="28"/>
          </w:rPr>
          <w:instrText xml:space="preserve"> PAGEREF _Toc10196 \h </w:instrText>
        </w:r>
        <w:r>
          <w:rPr>
            <w:rFonts w:eastAsia="宋体"/>
            <w:sz w:val="28"/>
            <w:szCs w:val="28"/>
          </w:rPr>
        </w:r>
        <w:r>
          <w:rPr>
            <w:rFonts w:eastAsia="宋体"/>
            <w:sz w:val="28"/>
            <w:szCs w:val="28"/>
          </w:rPr>
          <w:fldChar w:fldCharType="separate"/>
        </w:r>
        <w:r>
          <w:rPr>
            <w:rFonts w:eastAsia="宋体"/>
            <w:sz w:val="28"/>
            <w:szCs w:val="28"/>
          </w:rPr>
          <w:t>8</w:t>
        </w:r>
        <w:r>
          <w:rPr>
            <w:rFonts w:eastAsia="宋体"/>
            <w:sz w:val="28"/>
            <w:szCs w:val="28"/>
          </w:rPr>
          <w:fldChar w:fldCharType="end"/>
        </w:r>
      </w:hyperlink>
    </w:p>
    <w:p w14:paraId="2B92092A" w14:textId="77777777" w:rsidR="002E68E2" w:rsidRDefault="002E68E2">
      <w:pPr>
        <w:pStyle w:val="TOC3"/>
        <w:tabs>
          <w:tab w:val="clear" w:pos="9356"/>
          <w:tab w:val="right" w:leader="dot" w:pos="8640"/>
        </w:tabs>
        <w:ind w:left="880" w:right="257"/>
        <w:rPr>
          <w:rFonts w:eastAsia="宋体"/>
          <w:sz w:val="28"/>
          <w:szCs w:val="28"/>
        </w:rPr>
      </w:pPr>
      <w:hyperlink w:anchor="_Toc2551" w:history="1">
        <w:r>
          <w:rPr>
            <w:rFonts w:eastAsia="宋体"/>
            <w:sz w:val="28"/>
            <w:szCs w:val="28"/>
          </w:rPr>
          <w:t xml:space="preserve">4.3.3  Explanation of </w:t>
        </w:r>
        <w:r>
          <w:rPr>
            <w:rFonts w:eastAsia="宋体"/>
            <w:sz w:val="28"/>
            <w:szCs w:val="28"/>
            <w:lang w:eastAsia="zh-CN"/>
          </w:rPr>
          <w:t>Quantification Methods</w:t>
        </w:r>
        <w:r>
          <w:rPr>
            <w:rFonts w:eastAsia="宋体"/>
            <w:sz w:val="28"/>
            <w:szCs w:val="28"/>
          </w:rPr>
          <w:tab/>
        </w:r>
        <w:r>
          <w:rPr>
            <w:rFonts w:eastAsia="宋体"/>
            <w:sz w:val="28"/>
            <w:szCs w:val="28"/>
          </w:rPr>
          <w:fldChar w:fldCharType="begin"/>
        </w:r>
        <w:r>
          <w:rPr>
            <w:rFonts w:eastAsia="宋体"/>
            <w:sz w:val="28"/>
            <w:szCs w:val="28"/>
          </w:rPr>
          <w:instrText xml:space="preserve"> PAGEREF _Toc2551 \h </w:instrText>
        </w:r>
        <w:r>
          <w:rPr>
            <w:rFonts w:eastAsia="宋体"/>
            <w:sz w:val="28"/>
            <w:szCs w:val="28"/>
          </w:rPr>
        </w:r>
        <w:r>
          <w:rPr>
            <w:rFonts w:eastAsia="宋体"/>
            <w:sz w:val="28"/>
            <w:szCs w:val="28"/>
          </w:rPr>
          <w:fldChar w:fldCharType="separate"/>
        </w:r>
        <w:r>
          <w:rPr>
            <w:rFonts w:eastAsia="宋体"/>
            <w:sz w:val="28"/>
            <w:szCs w:val="28"/>
          </w:rPr>
          <w:t>9</w:t>
        </w:r>
        <w:r>
          <w:rPr>
            <w:rFonts w:eastAsia="宋体"/>
            <w:sz w:val="28"/>
            <w:szCs w:val="28"/>
          </w:rPr>
          <w:fldChar w:fldCharType="end"/>
        </w:r>
      </w:hyperlink>
    </w:p>
    <w:p w14:paraId="1C7647B5" w14:textId="6574BFF7"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4.4 Greenhouse Gas Emission Volumes </w:t>
      </w:r>
      <w:hyperlink w:anchor="_Toc18229"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_Toc18229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15</w:t>
        </w:r>
        <w:r w:rsidR="002E68E2">
          <w:rPr>
            <w:rFonts w:eastAsia="宋体"/>
            <w:sz w:val="28"/>
            <w:szCs w:val="28"/>
          </w:rPr>
          <w:fldChar w:fldCharType="end"/>
        </w:r>
      </w:hyperlink>
    </w:p>
    <w:p w14:paraId="00A9AE1E" w14:textId="77777777" w:rsidR="002E68E2" w:rsidRDefault="002E68E2">
      <w:pPr>
        <w:pStyle w:val="TOC3"/>
        <w:tabs>
          <w:tab w:val="clear" w:pos="9356"/>
          <w:tab w:val="right" w:leader="dot" w:pos="8640"/>
        </w:tabs>
        <w:ind w:left="880" w:right="257"/>
        <w:rPr>
          <w:rFonts w:eastAsia="宋体"/>
          <w:sz w:val="28"/>
          <w:szCs w:val="28"/>
        </w:rPr>
      </w:pPr>
      <w:hyperlink w:anchor="_Toc25852" w:history="1">
        <w:r>
          <w:rPr>
            <w:rFonts w:eastAsia="宋体"/>
            <w:sz w:val="28"/>
            <w:szCs w:val="28"/>
          </w:rPr>
          <w:t xml:space="preserve">4.4.1 </w:t>
        </w:r>
        <w:r>
          <w:rPr>
            <w:rFonts w:eastAsia="宋体"/>
            <w:sz w:val="28"/>
            <w:szCs w:val="28"/>
            <w:lang w:eastAsia="zh-CN"/>
          </w:rPr>
          <w:t xml:space="preserve"> Scope 1 </w:t>
        </w:r>
        <w:r>
          <w:rPr>
            <w:rFonts w:eastAsia="宋体"/>
            <w:sz w:val="28"/>
            <w:szCs w:val="28"/>
          </w:rPr>
          <w:t>Direct Greenhouse Gas Emissions</w:t>
        </w:r>
        <w:r>
          <w:rPr>
            <w:rFonts w:eastAsia="宋体"/>
            <w:sz w:val="28"/>
            <w:szCs w:val="28"/>
          </w:rPr>
          <w:tab/>
        </w:r>
        <w:r>
          <w:rPr>
            <w:rFonts w:eastAsia="宋体"/>
            <w:sz w:val="28"/>
            <w:szCs w:val="28"/>
          </w:rPr>
          <w:fldChar w:fldCharType="begin"/>
        </w:r>
        <w:r>
          <w:rPr>
            <w:rFonts w:eastAsia="宋体"/>
            <w:sz w:val="28"/>
            <w:szCs w:val="28"/>
          </w:rPr>
          <w:instrText xml:space="preserve"> PAGEREF _Toc25852 \h </w:instrText>
        </w:r>
        <w:r>
          <w:rPr>
            <w:rFonts w:eastAsia="宋体"/>
            <w:sz w:val="28"/>
            <w:szCs w:val="28"/>
          </w:rPr>
        </w:r>
        <w:r>
          <w:rPr>
            <w:rFonts w:eastAsia="宋体"/>
            <w:sz w:val="28"/>
            <w:szCs w:val="28"/>
          </w:rPr>
          <w:fldChar w:fldCharType="separate"/>
        </w:r>
        <w:r>
          <w:rPr>
            <w:rFonts w:eastAsia="宋体"/>
            <w:sz w:val="28"/>
            <w:szCs w:val="28"/>
          </w:rPr>
          <w:t>15</w:t>
        </w:r>
        <w:r>
          <w:rPr>
            <w:rFonts w:eastAsia="宋体"/>
            <w:sz w:val="28"/>
            <w:szCs w:val="28"/>
          </w:rPr>
          <w:fldChar w:fldCharType="end"/>
        </w:r>
      </w:hyperlink>
    </w:p>
    <w:p w14:paraId="088973B1" w14:textId="77777777" w:rsidR="002E68E2" w:rsidRDefault="002E68E2">
      <w:pPr>
        <w:pStyle w:val="TOC3"/>
        <w:tabs>
          <w:tab w:val="clear" w:pos="9356"/>
          <w:tab w:val="right" w:leader="dot" w:pos="8640"/>
        </w:tabs>
        <w:ind w:left="880" w:right="257"/>
        <w:rPr>
          <w:rFonts w:eastAsia="宋体"/>
          <w:sz w:val="28"/>
          <w:szCs w:val="28"/>
        </w:rPr>
      </w:pPr>
      <w:hyperlink w:anchor="_Toc18903" w:history="1">
        <w:r>
          <w:rPr>
            <w:rFonts w:eastAsia="宋体"/>
            <w:sz w:val="28"/>
            <w:szCs w:val="28"/>
          </w:rPr>
          <w:t xml:space="preserve">4.4.2 </w:t>
        </w:r>
        <w:r>
          <w:rPr>
            <w:rFonts w:eastAsia="宋体"/>
            <w:sz w:val="28"/>
            <w:szCs w:val="28"/>
            <w:lang w:eastAsia="zh-CN"/>
          </w:rPr>
          <w:t xml:space="preserve"> Scope 2 </w:t>
        </w:r>
        <w:r>
          <w:rPr>
            <w:rFonts w:eastAsia="宋体"/>
            <w:sz w:val="28"/>
            <w:szCs w:val="28"/>
          </w:rPr>
          <w:t>Indirect Greenhouse Gas Emissions</w:t>
        </w:r>
        <w:r>
          <w:rPr>
            <w:rFonts w:eastAsia="宋体"/>
            <w:sz w:val="28"/>
            <w:szCs w:val="28"/>
          </w:rPr>
          <w:tab/>
        </w:r>
        <w:r>
          <w:rPr>
            <w:rFonts w:eastAsia="宋体"/>
            <w:sz w:val="28"/>
            <w:szCs w:val="28"/>
          </w:rPr>
          <w:fldChar w:fldCharType="begin"/>
        </w:r>
        <w:r>
          <w:rPr>
            <w:rFonts w:eastAsia="宋体"/>
            <w:sz w:val="28"/>
            <w:szCs w:val="28"/>
          </w:rPr>
          <w:instrText xml:space="preserve"> PAGEREF _Toc18903 \h </w:instrText>
        </w:r>
        <w:r>
          <w:rPr>
            <w:rFonts w:eastAsia="宋体"/>
            <w:sz w:val="28"/>
            <w:szCs w:val="28"/>
          </w:rPr>
        </w:r>
        <w:r>
          <w:rPr>
            <w:rFonts w:eastAsia="宋体"/>
            <w:sz w:val="28"/>
            <w:szCs w:val="28"/>
          </w:rPr>
          <w:fldChar w:fldCharType="separate"/>
        </w:r>
        <w:r>
          <w:rPr>
            <w:rFonts w:eastAsia="宋体"/>
            <w:sz w:val="28"/>
            <w:szCs w:val="28"/>
          </w:rPr>
          <w:t>16</w:t>
        </w:r>
        <w:r>
          <w:rPr>
            <w:rFonts w:eastAsia="宋体"/>
            <w:sz w:val="28"/>
            <w:szCs w:val="28"/>
          </w:rPr>
          <w:fldChar w:fldCharType="end"/>
        </w:r>
      </w:hyperlink>
    </w:p>
    <w:p w14:paraId="1C280906" w14:textId="77777777" w:rsidR="002E68E2" w:rsidRDefault="002E68E2">
      <w:pPr>
        <w:pStyle w:val="TOC3"/>
        <w:tabs>
          <w:tab w:val="clear" w:pos="9356"/>
          <w:tab w:val="right" w:leader="dot" w:pos="8640"/>
        </w:tabs>
        <w:ind w:left="880" w:right="257"/>
        <w:rPr>
          <w:rFonts w:eastAsia="宋体"/>
          <w:sz w:val="28"/>
          <w:szCs w:val="28"/>
        </w:rPr>
      </w:pPr>
      <w:hyperlink w:anchor="_Toc25764" w:history="1">
        <w:r>
          <w:rPr>
            <w:rFonts w:eastAsia="宋体"/>
            <w:sz w:val="28"/>
            <w:szCs w:val="28"/>
          </w:rPr>
          <w:t xml:space="preserve">4.4.3 </w:t>
        </w:r>
        <w:r>
          <w:rPr>
            <w:rFonts w:eastAsia="宋体"/>
            <w:sz w:val="28"/>
            <w:szCs w:val="28"/>
            <w:lang w:eastAsia="zh-CN"/>
          </w:rPr>
          <w:t xml:space="preserve"> Scope 3 </w:t>
        </w:r>
        <w:r>
          <w:rPr>
            <w:rFonts w:eastAsia="宋体"/>
            <w:sz w:val="28"/>
            <w:szCs w:val="28"/>
          </w:rPr>
          <w:t>Other Indirect Greenhouse Gas Emissions</w:t>
        </w:r>
        <w:r>
          <w:rPr>
            <w:rFonts w:eastAsia="宋体"/>
            <w:sz w:val="28"/>
            <w:szCs w:val="28"/>
          </w:rPr>
          <w:tab/>
        </w:r>
        <w:r>
          <w:rPr>
            <w:rFonts w:eastAsia="宋体"/>
            <w:sz w:val="28"/>
            <w:szCs w:val="28"/>
          </w:rPr>
          <w:fldChar w:fldCharType="begin"/>
        </w:r>
        <w:r>
          <w:rPr>
            <w:rFonts w:eastAsia="宋体"/>
            <w:sz w:val="28"/>
            <w:szCs w:val="28"/>
          </w:rPr>
          <w:instrText xml:space="preserve"> PAGEREF _Toc25764 \h </w:instrText>
        </w:r>
        <w:r>
          <w:rPr>
            <w:rFonts w:eastAsia="宋体"/>
            <w:sz w:val="28"/>
            <w:szCs w:val="28"/>
          </w:rPr>
        </w:r>
        <w:r>
          <w:rPr>
            <w:rFonts w:eastAsia="宋体"/>
            <w:sz w:val="28"/>
            <w:szCs w:val="28"/>
          </w:rPr>
          <w:fldChar w:fldCharType="separate"/>
        </w:r>
        <w:r>
          <w:rPr>
            <w:rFonts w:eastAsia="宋体"/>
            <w:sz w:val="28"/>
            <w:szCs w:val="28"/>
          </w:rPr>
          <w:t>16</w:t>
        </w:r>
        <w:r>
          <w:rPr>
            <w:rFonts w:eastAsia="宋体"/>
            <w:sz w:val="28"/>
            <w:szCs w:val="28"/>
          </w:rPr>
          <w:fldChar w:fldCharType="end"/>
        </w:r>
      </w:hyperlink>
    </w:p>
    <w:p w14:paraId="46EEE13E" w14:textId="3EADA86A" w:rsidR="002E68E2" w:rsidRDefault="002E68E2">
      <w:pPr>
        <w:pStyle w:val="TOC3"/>
        <w:tabs>
          <w:tab w:val="clear" w:pos="9356"/>
          <w:tab w:val="right" w:leader="dot" w:pos="8640"/>
        </w:tabs>
        <w:ind w:left="880" w:right="257"/>
        <w:rPr>
          <w:rFonts w:eastAsia="宋体"/>
          <w:sz w:val="28"/>
          <w:szCs w:val="28"/>
        </w:rPr>
      </w:pPr>
      <w:hyperlink w:anchor="_Toc27727" w:history="1">
        <w:r>
          <w:rPr>
            <w:rFonts w:eastAsia="宋体"/>
            <w:sz w:val="28"/>
            <w:szCs w:val="28"/>
          </w:rPr>
          <w:t>4.4.4 Greenhouse Gas Emissions from Biomass Combustion</w:t>
        </w:r>
        <w:r>
          <w:rPr>
            <w:rFonts w:eastAsia="宋体"/>
            <w:sz w:val="28"/>
            <w:szCs w:val="28"/>
          </w:rPr>
          <w:tab/>
        </w:r>
        <w:r>
          <w:rPr>
            <w:rFonts w:eastAsia="宋体"/>
            <w:sz w:val="28"/>
            <w:szCs w:val="28"/>
          </w:rPr>
          <w:fldChar w:fldCharType="begin"/>
        </w:r>
        <w:r>
          <w:rPr>
            <w:rFonts w:eastAsia="宋体"/>
            <w:sz w:val="28"/>
            <w:szCs w:val="28"/>
          </w:rPr>
          <w:instrText xml:space="preserve"> PAGEREF _Toc27727 \h </w:instrText>
        </w:r>
        <w:r>
          <w:rPr>
            <w:rFonts w:eastAsia="宋体"/>
            <w:sz w:val="28"/>
            <w:szCs w:val="28"/>
          </w:rPr>
        </w:r>
        <w:r>
          <w:rPr>
            <w:rFonts w:eastAsia="宋体"/>
            <w:sz w:val="28"/>
            <w:szCs w:val="28"/>
          </w:rPr>
          <w:fldChar w:fldCharType="separate"/>
        </w:r>
        <w:r>
          <w:rPr>
            <w:rFonts w:eastAsia="宋体"/>
            <w:sz w:val="28"/>
            <w:szCs w:val="28"/>
          </w:rPr>
          <w:t>17</w:t>
        </w:r>
        <w:r>
          <w:rPr>
            <w:rFonts w:eastAsia="宋体"/>
            <w:sz w:val="28"/>
            <w:szCs w:val="28"/>
          </w:rPr>
          <w:fldChar w:fldCharType="end"/>
        </w:r>
      </w:hyperlink>
    </w:p>
    <w:p w14:paraId="5543D03E" w14:textId="2D8FF6AA" w:rsidR="002E68E2" w:rsidRDefault="002E68E2">
      <w:pPr>
        <w:pStyle w:val="TOC1"/>
        <w:tabs>
          <w:tab w:val="clear" w:pos="9356"/>
          <w:tab w:val="right" w:leader="dot" w:pos="8640"/>
        </w:tabs>
        <w:rPr>
          <w:rFonts w:ascii="Times New Roman" w:eastAsia="宋体" w:hAnsi="Times New Roman"/>
          <w:sz w:val="28"/>
          <w:szCs w:val="28"/>
        </w:rPr>
      </w:pPr>
      <w:hyperlink w:anchor="_Toc28809" w:history="1">
        <w:r>
          <w:rPr>
            <w:rFonts w:ascii="Times New Roman" w:eastAsia="宋体" w:hAnsi="Times New Roman"/>
            <w:sz w:val="28"/>
            <w:szCs w:val="28"/>
          </w:rPr>
          <w:t xml:space="preserve">5. </w:t>
        </w:r>
        <w:r>
          <w:rPr>
            <w:rFonts w:ascii="Times New Roman" w:eastAsia="宋体" w:hAnsi="Times New Roman"/>
            <w:sz w:val="28"/>
            <w:szCs w:val="28"/>
            <w:lang w:eastAsia="zh-CN"/>
          </w:rPr>
          <w:t xml:space="preserve">Data Quality </w:t>
        </w:r>
        <w:r>
          <w:rPr>
            <w:rFonts w:ascii="Times New Roman" w:eastAsia="宋体" w:hAnsi="Times New Roman"/>
            <w:sz w:val="28"/>
            <w:szCs w:val="28"/>
          </w:rPr>
          <w:t>Assessment</w:t>
        </w:r>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_Toc28809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18</w:t>
        </w:r>
        <w:r>
          <w:rPr>
            <w:rFonts w:ascii="Times New Roman" w:eastAsia="宋体" w:hAnsi="Times New Roman"/>
            <w:sz w:val="28"/>
            <w:szCs w:val="28"/>
          </w:rPr>
          <w:fldChar w:fldCharType="end"/>
        </w:r>
      </w:hyperlink>
    </w:p>
    <w:p w14:paraId="2598AC0C" w14:textId="34624B84"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5.1 Assessment Methods </w:t>
      </w:r>
      <w:hyperlink w:anchor="_Toc26588"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_Toc26588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18</w:t>
        </w:r>
        <w:r w:rsidR="002E68E2">
          <w:rPr>
            <w:rFonts w:eastAsia="宋体"/>
            <w:sz w:val="28"/>
            <w:szCs w:val="28"/>
          </w:rPr>
          <w:fldChar w:fldCharType="end"/>
        </w:r>
      </w:hyperlink>
    </w:p>
    <w:p w14:paraId="6D0D13CF" w14:textId="28266FFE"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5.2 Assessment Results </w:t>
      </w:r>
      <w:hyperlink w:anchor="_Toc13515"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_Toc13515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20</w:t>
        </w:r>
        <w:r w:rsidR="002E68E2">
          <w:rPr>
            <w:rFonts w:eastAsia="宋体"/>
            <w:sz w:val="28"/>
            <w:szCs w:val="28"/>
          </w:rPr>
          <w:fldChar w:fldCharType="end"/>
        </w:r>
      </w:hyperlink>
    </w:p>
    <w:p w14:paraId="29BDE908" w14:textId="77777777" w:rsidR="002E68E2" w:rsidRDefault="002E68E2">
      <w:pPr>
        <w:pStyle w:val="TOC2"/>
        <w:tabs>
          <w:tab w:val="clear" w:pos="9356"/>
          <w:tab w:val="right" w:leader="dot" w:pos="8640"/>
        </w:tabs>
        <w:rPr>
          <w:rFonts w:eastAsia="宋体"/>
          <w:sz w:val="28"/>
          <w:szCs w:val="28"/>
        </w:rPr>
      </w:pPr>
      <w:hyperlink w:anchor="_Toc14456" w:history="1">
        <w:r>
          <w:rPr>
            <w:rFonts w:eastAsia="宋体"/>
            <w:sz w:val="28"/>
            <w:szCs w:val="28"/>
          </w:rPr>
          <w:t>5.</w:t>
        </w:r>
        <w:r>
          <w:rPr>
            <w:rFonts w:eastAsia="宋体"/>
            <w:sz w:val="28"/>
            <w:szCs w:val="28"/>
            <w:lang w:eastAsia="zh-CN"/>
          </w:rPr>
          <w:t>3</w:t>
        </w:r>
        <w:r>
          <w:rPr>
            <w:rFonts w:eastAsia="宋体"/>
            <w:sz w:val="28"/>
            <w:szCs w:val="28"/>
          </w:rPr>
          <w:t xml:space="preserve">  </w:t>
        </w:r>
        <w:r>
          <w:rPr>
            <w:rFonts w:eastAsia="宋体"/>
            <w:sz w:val="28"/>
            <w:szCs w:val="28"/>
            <w:lang w:eastAsia="zh-CN"/>
          </w:rPr>
          <w:t>Data Quality Improvement Measures</w:t>
        </w:r>
        <w:r>
          <w:rPr>
            <w:rFonts w:eastAsia="宋体"/>
            <w:sz w:val="28"/>
            <w:szCs w:val="28"/>
          </w:rPr>
          <w:tab/>
        </w:r>
        <w:r>
          <w:rPr>
            <w:rFonts w:eastAsia="宋体"/>
            <w:sz w:val="28"/>
            <w:szCs w:val="28"/>
          </w:rPr>
          <w:fldChar w:fldCharType="begin"/>
        </w:r>
        <w:r>
          <w:rPr>
            <w:rFonts w:eastAsia="宋体"/>
            <w:sz w:val="28"/>
            <w:szCs w:val="28"/>
          </w:rPr>
          <w:instrText xml:space="preserve"> PAGEREF _Toc14456 \h </w:instrText>
        </w:r>
        <w:r>
          <w:rPr>
            <w:rFonts w:eastAsia="宋体"/>
            <w:sz w:val="28"/>
            <w:szCs w:val="28"/>
          </w:rPr>
        </w:r>
        <w:r>
          <w:rPr>
            <w:rFonts w:eastAsia="宋体"/>
            <w:sz w:val="28"/>
            <w:szCs w:val="28"/>
          </w:rPr>
          <w:fldChar w:fldCharType="separate"/>
        </w:r>
        <w:r>
          <w:rPr>
            <w:rFonts w:eastAsia="宋体"/>
            <w:sz w:val="28"/>
            <w:szCs w:val="28"/>
          </w:rPr>
          <w:t>23</w:t>
        </w:r>
        <w:r>
          <w:rPr>
            <w:rFonts w:eastAsia="宋体"/>
            <w:sz w:val="28"/>
            <w:szCs w:val="28"/>
          </w:rPr>
          <w:fldChar w:fldCharType="end"/>
        </w:r>
      </w:hyperlink>
    </w:p>
    <w:p w14:paraId="75A1A30E" w14:textId="02BD6C50" w:rsidR="002E68E2" w:rsidRDefault="005E17AB">
      <w:pPr>
        <w:pStyle w:val="TOC1"/>
        <w:tabs>
          <w:tab w:val="clear" w:pos="9356"/>
          <w:tab w:val="right" w:leader="dot" w:pos="8640"/>
        </w:tabs>
        <w:rPr>
          <w:rFonts w:ascii="Times New Roman" w:eastAsia="宋体" w:hAnsi="Times New Roman"/>
          <w:sz w:val="28"/>
          <w:szCs w:val="28"/>
        </w:rPr>
      </w:pPr>
      <w:r>
        <w:rPr>
          <w:rFonts w:ascii="Times New Roman" w:eastAsia="宋体" w:hAnsi="Times New Roman" w:hint="eastAsia"/>
          <w:sz w:val="28"/>
          <w:szCs w:val="28"/>
          <w:lang w:eastAsia="zh-CN"/>
        </w:rPr>
        <w:t xml:space="preserve"> 6.</w:t>
      </w:r>
      <w:r>
        <w:rPr>
          <w:rFonts w:ascii="Times New Roman" w:eastAsia="宋体" w:hAnsi="Times New Roman"/>
          <w:sz w:val="28"/>
          <w:szCs w:val="28"/>
        </w:rPr>
        <w:t xml:space="preserve"> </w:t>
      </w:r>
      <w:r w:rsidRPr="005E17AB">
        <w:rPr>
          <w:rFonts w:ascii="Times New Roman" w:eastAsia="宋体" w:hAnsi="Times New Roman"/>
          <w:sz w:val="28"/>
          <w:szCs w:val="28"/>
        </w:rPr>
        <w:t xml:space="preserve">Internal Verification of Greenhouse Gases </w:t>
      </w:r>
      <w:hyperlink w:anchor="_Toc9329" w:history="1">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_Toc9329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25</w:t>
        </w:r>
        <w:r>
          <w:rPr>
            <w:rFonts w:ascii="Times New Roman" w:eastAsia="宋体" w:hAnsi="Times New Roman"/>
            <w:sz w:val="28"/>
            <w:szCs w:val="28"/>
          </w:rPr>
          <w:fldChar w:fldCharType="end"/>
        </w:r>
      </w:hyperlink>
    </w:p>
    <w:p w14:paraId="54F95768" w14:textId="5E024CBD" w:rsidR="002E68E2" w:rsidRDefault="00000000">
      <w:pPr>
        <w:pStyle w:val="TOC1"/>
        <w:tabs>
          <w:tab w:val="clear" w:pos="9356"/>
          <w:tab w:val="right" w:leader="dot" w:pos="8640"/>
        </w:tabs>
        <w:rPr>
          <w:rFonts w:ascii="Times New Roman" w:eastAsia="宋体" w:hAnsi="Times New Roman"/>
          <w:sz w:val="28"/>
          <w:szCs w:val="28"/>
        </w:rPr>
      </w:pPr>
      <w:r>
        <w:rPr>
          <w:rFonts w:ascii="Times New Roman" w:eastAsia="宋体" w:hAnsi="Times New Roman"/>
          <w:sz w:val="28"/>
          <w:szCs w:val="28"/>
          <w:lang w:eastAsia="zh-CN"/>
        </w:rPr>
        <w:t xml:space="preserve"> </w:t>
      </w:r>
      <w:hyperlink w:anchor="_Toc6201" w:history="1">
        <w:r w:rsidR="002E68E2" w:rsidRPr="005E17AB">
          <w:rPr>
            <w:rStyle w:val="aff0"/>
            <w:rFonts w:ascii="Times New Roman" w:eastAsia="宋体" w:hAnsi="Times New Roman"/>
            <w:sz w:val="28"/>
            <w:szCs w:val="28"/>
          </w:rPr>
          <w:t>7. Emission Reduction Strategies</w:t>
        </w:r>
        <w:r w:rsidR="002E68E2" w:rsidRPr="005E17AB">
          <w:rPr>
            <w:rStyle w:val="aff0"/>
            <w:rFonts w:ascii="Times New Roman" w:eastAsia="宋体" w:hAnsi="Times New Roman"/>
            <w:sz w:val="28"/>
            <w:szCs w:val="28"/>
          </w:rPr>
          <w:tab/>
        </w:r>
        <w:r w:rsidR="002E68E2" w:rsidRPr="005E17AB">
          <w:rPr>
            <w:rStyle w:val="aff0"/>
            <w:rFonts w:ascii="Times New Roman" w:eastAsia="宋体" w:hAnsi="Times New Roman"/>
            <w:sz w:val="28"/>
            <w:szCs w:val="28"/>
          </w:rPr>
          <w:fldChar w:fldCharType="begin"/>
        </w:r>
        <w:r w:rsidR="002E68E2" w:rsidRPr="005E17AB">
          <w:rPr>
            <w:rStyle w:val="aff0"/>
            <w:rFonts w:ascii="Times New Roman" w:eastAsia="宋体" w:hAnsi="Times New Roman"/>
            <w:sz w:val="28"/>
            <w:szCs w:val="28"/>
          </w:rPr>
          <w:instrText xml:space="preserve"> PAGEREF _Toc6201 \h </w:instrText>
        </w:r>
        <w:r w:rsidR="002E68E2" w:rsidRPr="005E17AB">
          <w:rPr>
            <w:rStyle w:val="aff0"/>
            <w:rFonts w:ascii="Times New Roman" w:eastAsia="宋体" w:hAnsi="Times New Roman"/>
            <w:sz w:val="28"/>
            <w:szCs w:val="28"/>
          </w:rPr>
        </w:r>
        <w:r w:rsidR="002E68E2" w:rsidRPr="005E17AB">
          <w:rPr>
            <w:rStyle w:val="aff0"/>
            <w:rFonts w:ascii="Times New Roman" w:eastAsia="宋体" w:hAnsi="Times New Roman"/>
            <w:sz w:val="28"/>
            <w:szCs w:val="28"/>
          </w:rPr>
          <w:fldChar w:fldCharType="separate"/>
        </w:r>
        <w:r w:rsidR="002E68E2" w:rsidRPr="005E17AB">
          <w:rPr>
            <w:rStyle w:val="aff0"/>
            <w:rFonts w:ascii="Times New Roman" w:eastAsia="宋体" w:hAnsi="Times New Roman"/>
            <w:sz w:val="28"/>
            <w:szCs w:val="28"/>
          </w:rPr>
          <w:t>25</w:t>
        </w:r>
        <w:r w:rsidR="002E68E2" w:rsidRPr="005E17AB">
          <w:rPr>
            <w:rStyle w:val="aff0"/>
            <w:rFonts w:ascii="Times New Roman" w:eastAsia="宋体" w:hAnsi="Times New Roman"/>
            <w:sz w:val="28"/>
            <w:szCs w:val="28"/>
          </w:rPr>
          <w:fldChar w:fldCharType="end"/>
        </w:r>
      </w:hyperlink>
    </w:p>
    <w:p w14:paraId="7C9B0C6A" w14:textId="7FCB9E95"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hyperlink w:anchor="_Toc32698" w:history="1">
        <w:r w:rsidR="005E17AB" w:rsidRPr="005E17AB">
          <w:rPr>
            <w:rStyle w:val="aff0"/>
            <w:rFonts w:eastAsia="宋体"/>
            <w:sz w:val="28"/>
            <w:szCs w:val="28"/>
            <w:lang w:eastAsia="zh-CN"/>
          </w:rPr>
          <w:t>7.1 Emission Reduction Strategies</w:t>
        </w:r>
        <w:r w:rsidRPr="005E17AB">
          <w:rPr>
            <w:rStyle w:val="aff0"/>
            <w:rFonts w:eastAsia="宋体"/>
            <w:sz w:val="28"/>
            <w:szCs w:val="28"/>
          </w:rPr>
          <w:tab/>
        </w:r>
        <w:r w:rsidRPr="005E17AB">
          <w:rPr>
            <w:rStyle w:val="aff0"/>
            <w:rFonts w:eastAsia="宋体"/>
            <w:sz w:val="28"/>
            <w:szCs w:val="28"/>
          </w:rPr>
          <w:fldChar w:fldCharType="begin"/>
        </w:r>
        <w:r w:rsidRPr="005E17AB">
          <w:rPr>
            <w:rStyle w:val="aff0"/>
            <w:rFonts w:eastAsia="宋体"/>
            <w:sz w:val="28"/>
            <w:szCs w:val="28"/>
          </w:rPr>
          <w:instrText xml:space="preserve"> PAGEREF _Toc32698 \h </w:instrText>
        </w:r>
        <w:r w:rsidRPr="005E17AB">
          <w:rPr>
            <w:rStyle w:val="aff0"/>
            <w:rFonts w:eastAsia="宋体"/>
            <w:sz w:val="28"/>
            <w:szCs w:val="28"/>
          </w:rPr>
        </w:r>
        <w:r w:rsidRPr="005E17AB">
          <w:rPr>
            <w:rStyle w:val="aff0"/>
            <w:rFonts w:eastAsia="宋体"/>
            <w:sz w:val="28"/>
            <w:szCs w:val="28"/>
          </w:rPr>
          <w:fldChar w:fldCharType="separate"/>
        </w:r>
        <w:r w:rsidRPr="005E17AB">
          <w:rPr>
            <w:rStyle w:val="aff0"/>
            <w:rFonts w:eastAsia="宋体"/>
            <w:sz w:val="28"/>
            <w:szCs w:val="28"/>
          </w:rPr>
          <w:t>25</w:t>
        </w:r>
        <w:r w:rsidRPr="005E17AB">
          <w:rPr>
            <w:rStyle w:val="aff0"/>
            <w:rFonts w:eastAsia="宋体"/>
            <w:sz w:val="28"/>
            <w:szCs w:val="28"/>
          </w:rPr>
          <w:fldChar w:fldCharType="end"/>
        </w:r>
      </w:hyperlink>
    </w:p>
    <w:p w14:paraId="63384454" w14:textId="05381517" w:rsidR="002E68E2" w:rsidRDefault="00000000">
      <w:pPr>
        <w:pStyle w:val="TOC3"/>
        <w:tabs>
          <w:tab w:val="clear" w:pos="9356"/>
          <w:tab w:val="right" w:leader="dot" w:pos="8640"/>
        </w:tabs>
        <w:ind w:left="880" w:right="257"/>
        <w:rPr>
          <w:rFonts w:eastAsia="宋体"/>
          <w:sz w:val="28"/>
          <w:szCs w:val="28"/>
        </w:rPr>
      </w:pPr>
      <w:r>
        <w:rPr>
          <w:rFonts w:eastAsia="宋体"/>
          <w:sz w:val="28"/>
          <w:szCs w:val="28"/>
          <w:lang w:eastAsia="zh-CN"/>
        </w:rPr>
        <w:t xml:space="preserve"> </w:t>
      </w:r>
      <w:hyperlink w:anchor="_Toc726" w:history="1">
        <w:r w:rsidR="002E68E2" w:rsidRPr="005E17AB">
          <w:rPr>
            <w:rStyle w:val="aff0"/>
            <w:rFonts w:eastAsia="宋体"/>
            <w:sz w:val="28"/>
            <w:szCs w:val="28"/>
          </w:rPr>
          <w:t>7.</w:t>
        </w:r>
        <w:r w:rsidR="002E68E2" w:rsidRPr="005E17AB">
          <w:rPr>
            <w:rStyle w:val="aff0"/>
            <w:rFonts w:eastAsia="宋体"/>
            <w:sz w:val="28"/>
            <w:szCs w:val="28"/>
            <w:lang w:eastAsia="zh-CN"/>
          </w:rPr>
          <w:t>1</w:t>
        </w:r>
        <w:r w:rsidR="002E68E2" w:rsidRPr="005E17AB">
          <w:rPr>
            <w:rStyle w:val="aff0"/>
            <w:rFonts w:eastAsia="宋体"/>
            <w:sz w:val="28"/>
            <w:szCs w:val="28"/>
          </w:rPr>
          <w:t>.1</w:t>
        </w:r>
        <w:r w:rsidR="002E68E2">
          <w:rPr>
            <w:rStyle w:val="aff0"/>
            <w:rFonts w:eastAsia="宋体" w:hint="eastAsia"/>
            <w:sz w:val="28"/>
            <w:szCs w:val="28"/>
            <w:lang w:eastAsia="zh-CN"/>
          </w:rPr>
          <w:t xml:space="preserve"> </w:t>
        </w:r>
        <w:r w:rsidR="002E68E2" w:rsidRPr="005E17AB">
          <w:rPr>
            <w:rStyle w:val="aff0"/>
            <w:rFonts w:eastAsia="宋体"/>
            <w:sz w:val="28"/>
            <w:szCs w:val="28"/>
          </w:rPr>
          <w:t>Low-Carbon Transformation</w:t>
        </w:r>
        <w:r w:rsidR="002E68E2" w:rsidRPr="005E17AB">
          <w:rPr>
            <w:rStyle w:val="aff0"/>
            <w:rFonts w:eastAsia="宋体"/>
            <w:sz w:val="28"/>
            <w:szCs w:val="28"/>
          </w:rPr>
          <w:tab/>
        </w:r>
        <w:r w:rsidR="002E68E2" w:rsidRPr="005E17AB">
          <w:rPr>
            <w:rStyle w:val="aff0"/>
            <w:rFonts w:eastAsia="宋体"/>
            <w:sz w:val="28"/>
            <w:szCs w:val="28"/>
          </w:rPr>
          <w:fldChar w:fldCharType="begin"/>
        </w:r>
        <w:r w:rsidR="002E68E2" w:rsidRPr="005E17AB">
          <w:rPr>
            <w:rStyle w:val="aff0"/>
            <w:rFonts w:eastAsia="宋体"/>
            <w:sz w:val="28"/>
            <w:szCs w:val="28"/>
          </w:rPr>
          <w:instrText xml:space="preserve"> PAGEREF _Toc726 \h </w:instrText>
        </w:r>
        <w:r w:rsidR="002E68E2" w:rsidRPr="005E17AB">
          <w:rPr>
            <w:rStyle w:val="aff0"/>
            <w:rFonts w:eastAsia="宋体"/>
            <w:sz w:val="28"/>
            <w:szCs w:val="28"/>
          </w:rPr>
        </w:r>
        <w:r w:rsidR="002E68E2" w:rsidRPr="005E17AB">
          <w:rPr>
            <w:rStyle w:val="aff0"/>
            <w:rFonts w:eastAsia="宋体"/>
            <w:sz w:val="28"/>
            <w:szCs w:val="28"/>
          </w:rPr>
          <w:fldChar w:fldCharType="separate"/>
        </w:r>
        <w:r w:rsidR="002E68E2" w:rsidRPr="005E17AB">
          <w:rPr>
            <w:rStyle w:val="aff0"/>
            <w:rFonts w:eastAsia="宋体"/>
            <w:sz w:val="28"/>
            <w:szCs w:val="28"/>
          </w:rPr>
          <w:t>25</w:t>
        </w:r>
        <w:r w:rsidR="002E68E2" w:rsidRPr="005E17AB">
          <w:rPr>
            <w:rStyle w:val="aff0"/>
            <w:rFonts w:eastAsia="宋体"/>
            <w:sz w:val="28"/>
            <w:szCs w:val="28"/>
          </w:rPr>
          <w:fldChar w:fldCharType="end"/>
        </w:r>
      </w:hyperlink>
    </w:p>
    <w:p w14:paraId="00A2343E" w14:textId="5A232C04" w:rsidR="002E68E2" w:rsidRDefault="00000000">
      <w:pPr>
        <w:pStyle w:val="TOC3"/>
        <w:tabs>
          <w:tab w:val="clear" w:pos="9356"/>
          <w:tab w:val="right" w:leader="dot" w:pos="8640"/>
        </w:tabs>
        <w:ind w:left="880" w:right="257"/>
        <w:rPr>
          <w:rFonts w:eastAsia="宋体"/>
          <w:sz w:val="28"/>
          <w:szCs w:val="28"/>
        </w:rPr>
      </w:pPr>
      <w:r>
        <w:rPr>
          <w:rFonts w:eastAsia="宋体"/>
          <w:sz w:val="28"/>
          <w:szCs w:val="28"/>
          <w:lang w:eastAsia="zh-CN"/>
        </w:rPr>
        <w:t xml:space="preserve"> </w:t>
      </w:r>
      <w:hyperlink w:anchor="_Toc1556" w:history="1">
        <w:r w:rsidR="002E68E2" w:rsidRPr="005E17AB">
          <w:rPr>
            <w:rStyle w:val="aff0"/>
            <w:rFonts w:eastAsia="宋体"/>
            <w:sz w:val="28"/>
            <w:szCs w:val="28"/>
          </w:rPr>
          <w:t>7</w:t>
        </w:r>
        <w:r w:rsidR="002E68E2">
          <w:rPr>
            <w:rStyle w:val="aff0"/>
            <w:rFonts w:eastAsia="宋体" w:hint="eastAsia"/>
            <w:sz w:val="28"/>
            <w:szCs w:val="28"/>
            <w:lang w:eastAsia="zh-CN"/>
          </w:rPr>
          <w:t>.1.2</w:t>
        </w:r>
        <w:r w:rsidR="002E68E2" w:rsidRPr="005E17AB">
          <w:rPr>
            <w:rStyle w:val="aff0"/>
            <w:rFonts w:eastAsia="宋体" w:hint="eastAsia"/>
            <w:sz w:val="28"/>
            <w:szCs w:val="28"/>
            <w:lang w:eastAsia="zh-CN"/>
          </w:rPr>
          <w:t xml:space="preserve"> </w:t>
        </w:r>
        <w:r w:rsidR="002E68E2" w:rsidRPr="005E17AB">
          <w:rPr>
            <w:rStyle w:val="aff0"/>
            <w:rFonts w:eastAsia="宋体"/>
            <w:sz w:val="28"/>
            <w:szCs w:val="28"/>
            <w:lang w:eastAsia="zh-CN"/>
          </w:rPr>
          <w:t>Building a Green Supply Chain</w:t>
        </w:r>
        <w:r w:rsidR="002E68E2" w:rsidRPr="005E17AB">
          <w:rPr>
            <w:rStyle w:val="aff0"/>
            <w:rFonts w:eastAsia="宋体"/>
            <w:sz w:val="28"/>
            <w:szCs w:val="28"/>
          </w:rPr>
          <w:t>.</w:t>
        </w:r>
        <w:r w:rsidR="002E68E2" w:rsidRPr="005E17AB">
          <w:rPr>
            <w:rStyle w:val="aff0"/>
            <w:rFonts w:eastAsia="宋体"/>
            <w:sz w:val="28"/>
            <w:szCs w:val="28"/>
          </w:rPr>
          <w:tab/>
        </w:r>
        <w:r w:rsidR="002E68E2" w:rsidRPr="005E17AB">
          <w:rPr>
            <w:rStyle w:val="aff0"/>
            <w:rFonts w:eastAsia="宋体"/>
            <w:sz w:val="28"/>
            <w:szCs w:val="28"/>
          </w:rPr>
          <w:fldChar w:fldCharType="begin"/>
        </w:r>
        <w:r w:rsidR="002E68E2" w:rsidRPr="005E17AB">
          <w:rPr>
            <w:rStyle w:val="aff0"/>
            <w:rFonts w:eastAsia="宋体"/>
            <w:sz w:val="28"/>
            <w:szCs w:val="28"/>
          </w:rPr>
          <w:instrText xml:space="preserve"> PAGEREF _Toc1556 \h </w:instrText>
        </w:r>
        <w:r w:rsidR="002E68E2" w:rsidRPr="005E17AB">
          <w:rPr>
            <w:rStyle w:val="aff0"/>
            <w:rFonts w:eastAsia="宋体"/>
            <w:sz w:val="28"/>
            <w:szCs w:val="28"/>
          </w:rPr>
        </w:r>
        <w:r w:rsidR="002E68E2" w:rsidRPr="005E17AB">
          <w:rPr>
            <w:rStyle w:val="aff0"/>
            <w:rFonts w:eastAsia="宋体"/>
            <w:sz w:val="28"/>
            <w:szCs w:val="28"/>
          </w:rPr>
          <w:fldChar w:fldCharType="separate"/>
        </w:r>
        <w:r w:rsidR="002E68E2" w:rsidRPr="005E17AB">
          <w:rPr>
            <w:rStyle w:val="aff0"/>
            <w:rFonts w:eastAsia="宋体"/>
            <w:sz w:val="28"/>
            <w:szCs w:val="28"/>
          </w:rPr>
          <w:t>26</w:t>
        </w:r>
        <w:r w:rsidR="002E68E2" w:rsidRPr="005E17AB">
          <w:rPr>
            <w:rStyle w:val="aff0"/>
            <w:rFonts w:eastAsia="宋体"/>
            <w:sz w:val="28"/>
            <w:szCs w:val="28"/>
          </w:rPr>
          <w:fldChar w:fldCharType="end"/>
        </w:r>
      </w:hyperlink>
    </w:p>
    <w:p w14:paraId="69BAED50" w14:textId="45FB5A57"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7.2 Guarantee for the Implementation of Emission Reduction</w:t>
      </w:r>
      <w:hyperlink w:anchor="_Toc27223"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_Toc27223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27</w:t>
        </w:r>
        <w:r w:rsidR="002E68E2">
          <w:rPr>
            <w:rFonts w:eastAsia="宋体"/>
            <w:sz w:val="28"/>
            <w:szCs w:val="28"/>
          </w:rPr>
          <w:fldChar w:fldCharType="end"/>
        </w:r>
      </w:hyperlink>
    </w:p>
    <w:p w14:paraId="432EF825" w14:textId="564F67C0" w:rsidR="002E68E2" w:rsidRDefault="00000000">
      <w:pPr>
        <w:pStyle w:val="TOC3"/>
        <w:tabs>
          <w:tab w:val="clear" w:pos="9356"/>
          <w:tab w:val="right" w:leader="dot" w:pos="8640"/>
        </w:tabs>
        <w:ind w:left="880" w:right="257"/>
        <w:rPr>
          <w:rFonts w:eastAsia="宋体"/>
          <w:sz w:val="28"/>
          <w:szCs w:val="28"/>
        </w:rPr>
      </w:pPr>
      <w:r>
        <w:rPr>
          <w:rFonts w:eastAsia="宋体"/>
          <w:sz w:val="28"/>
          <w:szCs w:val="28"/>
          <w:lang w:eastAsia="zh-CN"/>
        </w:rPr>
        <w:t xml:space="preserve"> </w:t>
      </w:r>
      <w:r w:rsidR="005E17AB" w:rsidRPr="005E17AB">
        <w:rPr>
          <w:rFonts w:eastAsia="宋体"/>
          <w:sz w:val="28"/>
          <w:szCs w:val="28"/>
          <w:lang w:eastAsia="zh-CN"/>
        </w:rPr>
        <w:t xml:space="preserve">7.2.1 Organizational Guarantee </w:t>
      </w:r>
      <w:hyperlink w:anchor="_Toc30858"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_Toc30858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27</w:t>
        </w:r>
        <w:r w:rsidR="002E68E2">
          <w:rPr>
            <w:rFonts w:eastAsia="宋体"/>
            <w:sz w:val="28"/>
            <w:szCs w:val="28"/>
          </w:rPr>
          <w:fldChar w:fldCharType="end"/>
        </w:r>
      </w:hyperlink>
    </w:p>
    <w:p w14:paraId="7BF27FD3" w14:textId="10D0EBA4" w:rsidR="002E68E2" w:rsidRDefault="00000000">
      <w:pPr>
        <w:pStyle w:val="TOC3"/>
        <w:tabs>
          <w:tab w:val="clear" w:pos="9356"/>
          <w:tab w:val="right" w:leader="dot" w:pos="8640"/>
        </w:tabs>
        <w:ind w:left="880" w:right="257"/>
        <w:rPr>
          <w:rFonts w:eastAsia="宋体"/>
          <w:sz w:val="28"/>
          <w:szCs w:val="28"/>
        </w:rPr>
      </w:pPr>
      <w:r>
        <w:rPr>
          <w:rFonts w:eastAsia="宋体"/>
          <w:sz w:val="28"/>
          <w:szCs w:val="28"/>
          <w:lang w:eastAsia="zh-CN"/>
        </w:rPr>
        <w:t xml:space="preserve"> </w:t>
      </w:r>
      <w:r w:rsidR="005E17AB" w:rsidRPr="005E17AB">
        <w:rPr>
          <w:rFonts w:eastAsia="宋体"/>
          <w:sz w:val="28"/>
          <w:szCs w:val="28"/>
          <w:lang w:eastAsia="zh-CN"/>
        </w:rPr>
        <w:t>7.2.2 Institutional Guarantee</w:t>
      </w:r>
      <w:hyperlink w:anchor="_Toc20017"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_Toc20017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27</w:t>
        </w:r>
        <w:r w:rsidR="002E68E2">
          <w:rPr>
            <w:rFonts w:eastAsia="宋体"/>
            <w:sz w:val="28"/>
            <w:szCs w:val="28"/>
          </w:rPr>
          <w:fldChar w:fldCharType="end"/>
        </w:r>
      </w:hyperlink>
    </w:p>
    <w:p w14:paraId="211EC06F" w14:textId="77DB10CD" w:rsidR="002E68E2" w:rsidRDefault="00000000">
      <w:pPr>
        <w:pStyle w:val="TOC3"/>
        <w:tabs>
          <w:tab w:val="clear" w:pos="9356"/>
          <w:tab w:val="right" w:leader="dot" w:pos="8640"/>
        </w:tabs>
        <w:ind w:left="880" w:right="257"/>
        <w:rPr>
          <w:rFonts w:eastAsia="宋体"/>
          <w:sz w:val="28"/>
          <w:szCs w:val="28"/>
        </w:rPr>
      </w:pPr>
      <w:r>
        <w:rPr>
          <w:rFonts w:eastAsia="宋体"/>
          <w:sz w:val="28"/>
          <w:szCs w:val="28"/>
          <w:lang w:eastAsia="zh-CN"/>
        </w:rPr>
        <w:t xml:space="preserve"> </w:t>
      </w:r>
      <w:r w:rsidR="005E17AB" w:rsidRPr="005E17AB">
        <w:rPr>
          <w:rFonts w:eastAsia="宋体"/>
          <w:sz w:val="28"/>
          <w:szCs w:val="28"/>
          <w:lang w:eastAsia="zh-CN"/>
        </w:rPr>
        <w:t>7.2.3 Technical and Financial Guarantee</w:t>
      </w:r>
      <w:hyperlink w:anchor="_Toc30954"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_Toc30954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27</w:t>
        </w:r>
        <w:r w:rsidR="002E68E2">
          <w:rPr>
            <w:rFonts w:eastAsia="宋体"/>
            <w:sz w:val="28"/>
            <w:szCs w:val="28"/>
          </w:rPr>
          <w:fldChar w:fldCharType="end"/>
        </w:r>
      </w:hyperlink>
    </w:p>
    <w:p w14:paraId="33C922B0" w14:textId="6BFDB0A1" w:rsidR="002E68E2" w:rsidRDefault="00000000">
      <w:pPr>
        <w:pStyle w:val="TOC3"/>
        <w:tabs>
          <w:tab w:val="clear" w:pos="9356"/>
          <w:tab w:val="right" w:leader="dot" w:pos="8640"/>
        </w:tabs>
        <w:ind w:left="880" w:right="257"/>
        <w:rPr>
          <w:rFonts w:eastAsia="宋体"/>
          <w:sz w:val="28"/>
          <w:szCs w:val="28"/>
        </w:rPr>
      </w:pPr>
      <w:r>
        <w:rPr>
          <w:rFonts w:eastAsia="宋体"/>
          <w:sz w:val="28"/>
          <w:szCs w:val="28"/>
          <w:lang w:eastAsia="zh-CN"/>
        </w:rPr>
        <w:t xml:space="preserve"> </w:t>
      </w:r>
      <w:r w:rsidR="005E17AB" w:rsidRPr="005E17AB">
        <w:rPr>
          <w:rFonts w:eastAsia="宋体"/>
          <w:sz w:val="28"/>
          <w:szCs w:val="28"/>
          <w:lang w:eastAsia="zh-CN"/>
        </w:rPr>
        <w:t>7.2.4 Monitoring and Evaluation Guarantee</w:t>
      </w:r>
      <w:hyperlink w:anchor="_Toc12387"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_Toc12387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27</w:t>
        </w:r>
        <w:r w:rsidR="002E68E2">
          <w:rPr>
            <w:rFonts w:eastAsia="宋体"/>
            <w:sz w:val="28"/>
            <w:szCs w:val="28"/>
          </w:rPr>
          <w:fldChar w:fldCharType="end"/>
        </w:r>
      </w:hyperlink>
    </w:p>
    <w:p w14:paraId="464494E6" w14:textId="289F4234" w:rsidR="002E68E2" w:rsidRDefault="00000000">
      <w:pPr>
        <w:pStyle w:val="TOC3"/>
        <w:tabs>
          <w:tab w:val="clear" w:pos="9356"/>
          <w:tab w:val="right" w:leader="dot" w:pos="8640"/>
        </w:tabs>
        <w:ind w:left="880" w:right="257"/>
        <w:rPr>
          <w:rFonts w:eastAsia="宋体"/>
          <w:sz w:val="28"/>
          <w:szCs w:val="28"/>
        </w:rPr>
      </w:pPr>
      <w:r>
        <w:rPr>
          <w:rFonts w:eastAsia="宋体"/>
          <w:sz w:val="28"/>
          <w:szCs w:val="28"/>
          <w:lang w:eastAsia="zh-CN"/>
        </w:rPr>
        <w:t xml:space="preserve"> </w:t>
      </w:r>
      <w:r w:rsidR="005E17AB" w:rsidRPr="005E17AB">
        <w:rPr>
          <w:rFonts w:eastAsia="宋体"/>
          <w:sz w:val="28"/>
          <w:szCs w:val="28"/>
          <w:lang w:eastAsia="zh-CN"/>
        </w:rPr>
        <w:t>7.2.5 Cultural and Human Resource Guarantee</w:t>
      </w:r>
      <w:hyperlink w:anchor="_Toc29438"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_Toc29438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28</w:t>
        </w:r>
        <w:r w:rsidR="002E68E2">
          <w:rPr>
            <w:rFonts w:eastAsia="宋体"/>
            <w:sz w:val="28"/>
            <w:szCs w:val="28"/>
          </w:rPr>
          <w:fldChar w:fldCharType="end"/>
        </w:r>
      </w:hyperlink>
    </w:p>
    <w:p w14:paraId="50112906" w14:textId="77777777" w:rsidR="002E68E2" w:rsidRDefault="002E68E2">
      <w:pPr>
        <w:pStyle w:val="TOC1"/>
        <w:tabs>
          <w:tab w:val="clear" w:pos="9356"/>
          <w:tab w:val="right" w:leader="dot" w:pos="8640"/>
        </w:tabs>
        <w:rPr>
          <w:rFonts w:ascii="Times New Roman" w:eastAsia="宋体" w:hAnsi="Times New Roman"/>
          <w:sz w:val="28"/>
          <w:szCs w:val="28"/>
        </w:rPr>
      </w:pPr>
      <w:hyperlink w:anchor="_Toc74" w:history="1">
        <w:r>
          <w:rPr>
            <w:rFonts w:ascii="Times New Roman" w:eastAsia="宋体" w:hAnsi="Times New Roman"/>
            <w:sz w:val="28"/>
            <w:szCs w:val="28"/>
            <w:lang w:eastAsia="zh-CN"/>
          </w:rPr>
          <w:t>8</w:t>
        </w:r>
        <w:r>
          <w:rPr>
            <w:rFonts w:ascii="Times New Roman" w:eastAsia="宋体" w:hAnsi="Times New Roman"/>
            <w:sz w:val="28"/>
            <w:szCs w:val="28"/>
          </w:rPr>
          <w:t>. Report Distribution and Management</w:t>
        </w:r>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_Toc74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29</w:t>
        </w:r>
        <w:r>
          <w:rPr>
            <w:rFonts w:ascii="Times New Roman" w:eastAsia="宋体" w:hAnsi="Times New Roman"/>
            <w:sz w:val="28"/>
            <w:szCs w:val="28"/>
          </w:rPr>
          <w:fldChar w:fldCharType="end"/>
        </w:r>
      </w:hyperlink>
    </w:p>
    <w:p w14:paraId="3D5FB37B" w14:textId="77777777" w:rsidR="002E68E2" w:rsidRDefault="00000000">
      <w:pPr>
        <w:adjustRightInd w:val="0"/>
        <w:snapToGrid w:val="0"/>
        <w:spacing w:after="0" w:line="360" w:lineRule="auto"/>
        <w:jc w:val="both"/>
        <w:rPr>
          <w:rFonts w:ascii="Times New Roman" w:hAnsi="Times New Roman" w:cs="Times New Roman"/>
          <w:b/>
          <w:bCs/>
        </w:rPr>
        <w:sectPr w:rsidR="002E68E2">
          <w:pgSz w:w="12240" w:h="15840"/>
          <w:pgMar w:top="1440" w:right="1800" w:bottom="1440" w:left="1800" w:header="454" w:footer="624" w:gutter="0"/>
          <w:pgNumType w:fmt="upperRoman" w:start="1"/>
          <w:cols w:space="708"/>
          <w:docGrid w:linePitch="360"/>
        </w:sectPr>
      </w:pPr>
      <w:r>
        <w:rPr>
          <w:rFonts w:ascii="Times New Roman" w:hAnsi="Times New Roman" w:cs="Times New Roman"/>
          <w:sz w:val="28"/>
          <w:szCs w:val="28"/>
        </w:rPr>
        <w:fldChar w:fldCharType="end"/>
      </w:r>
    </w:p>
    <w:p w14:paraId="1B754988" w14:textId="77777777" w:rsidR="002E68E2" w:rsidRDefault="00000000">
      <w:pPr>
        <w:pStyle w:val="1"/>
        <w:rPr>
          <w:sz w:val="32"/>
          <w:szCs w:val="32"/>
        </w:rPr>
      </w:pPr>
      <w:r>
        <w:rPr>
          <w:sz w:val="32"/>
          <w:szCs w:val="32"/>
        </w:rPr>
        <w:lastRenderedPageBreak/>
        <w:t xml:space="preserve"> </w:t>
      </w:r>
      <w:bookmarkStart w:id="0" w:name="_Toc28820"/>
      <w:bookmarkStart w:id="1" w:name="_Toc31293"/>
      <w:r>
        <w:rPr>
          <w:sz w:val="32"/>
          <w:szCs w:val="32"/>
        </w:rPr>
        <w:t>1. Introduction</w:t>
      </w:r>
      <w:bookmarkEnd w:id="0"/>
      <w:bookmarkEnd w:id="1"/>
    </w:p>
    <w:p w14:paraId="7D92A3B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Against the backdrop of increasingly severe global climate change, reducing greenhouse gas emissions and promoting a green, low-carbon transition have become a global consensus. As </w:t>
      </w:r>
      <w:r>
        <w:rPr>
          <w:rFonts w:ascii="Times New Roman" w:hAnsi="Times New Roman" w:cs="Times New Roman" w:hint="eastAsia"/>
          <w:sz w:val="28"/>
          <w:szCs w:val="28"/>
        </w:rPr>
        <w:t>a manufacturer of new energy photovoltaic products</w:t>
      </w:r>
      <w:r>
        <w:rPr>
          <w:rFonts w:ascii="Times New Roman" w:hAnsi="Times New Roman" w:cs="Times New Roman"/>
          <w:sz w:val="28"/>
          <w:szCs w:val="28"/>
        </w:rPr>
        <w:t xml:space="preserve">, we are deeply aware of our responsibility and mission in addressing climate change. Conducting a carbon inventory is not only a crucial measure in response to the national </w:t>
      </w:r>
      <w:r>
        <w:rPr>
          <w:rFonts w:ascii="Times New Roman" w:hAnsi="Times New Roman" w:cs="Times New Roman" w:hint="eastAsia"/>
          <w:sz w:val="28"/>
          <w:szCs w:val="28"/>
        </w:rPr>
        <w:t>“</w:t>
      </w:r>
      <w:r>
        <w:rPr>
          <w:rFonts w:ascii="Times New Roman" w:hAnsi="Times New Roman" w:cs="Times New Roman" w:hint="eastAsia"/>
          <w:sz w:val="28"/>
          <w:szCs w:val="28"/>
        </w:rPr>
        <w:t>Dual Carbon</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goals but also a key step in putting the concept of green development into practice and enhancing the</w:t>
      </w:r>
      <w:r>
        <w:rPr>
          <w:rFonts w:ascii="Times New Roman" w:hAnsi="Times New Roman" w:cs="Times New Roman" w:hint="eastAsia"/>
          <w:sz w:val="28"/>
          <w:szCs w:val="28"/>
        </w:rPr>
        <w:t xml:space="preserve"> 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w:t>
      </w:r>
      <w:r>
        <w:rPr>
          <w:rFonts w:ascii="Times New Roman" w:hAnsi="Times New Roman" w:cs="Times New Roman"/>
          <w:sz w:val="28"/>
          <w:szCs w:val="28"/>
        </w:rPr>
        <w:t>environmental performance.</w:t>
      </w:r>
    </w:p>
    <w:p w14:paraId="7D9ED3D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This report aims to comprehensively document and evaluate the greenhouse gas emissions generated during the company’s operations, covering direct emissions, indirect emissions, and emissions related to the value chain. Through scientific data collection, analysis, and accounting, we hope to accurately identify the primary sources of carbon emissions, providing a reliable basis for achieving the</w:t>
      </w:r>
      <w:r>
        <w:rPr>
          <w:rFonts w:ascii="Times New Roman" w:hAnsi="Times New Roman" w:cs="Times New Roman" w:hint="eastAsia"/>
          <w:sz w:val="28"/>
          <w:szCs w:val="28"/>
        </w:rPr>
        <w:t xml:space="preserve"> 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carbon reduction </w:t>
      </w:r>
      <w:r>
        <w:rPr>
          <w:rFonts w:ascii="Times New Roman" w:hAnsi="Times New Roman" w:cs="Times New Roman"/>
          <w:sz w:val="28"/>
          <w:szCs w:val="28"/>
        </w:rPr>
        <w:t xml:space="preserve">targets and implementing </w:t>
      </w:r>
      <w:r>
        <w:rPr>
          <w:rFonts w:ascii="Times New Roman" w:hAnsi="Times New Roman" w:cs="Times New Roman" w:hint="eastAsia"/>
          <w:sz w:val="28"/>
          <w:szCs w:val="28"/>
        </w:rPr>
        <w:t xml:space="preserve">mitigation </w:t>
      </w:r>
      <w:r>
        <w:rPr>
          <w:rFonts w:ascii="Times New Roman" w:hAnsi="Times New Roman" w:cs="Times New Roman"/>
          <w:sz w:val="28"/>
          <w:szCs w:val="28"/>
        </w:rPr>
        <w:t>measures. Throughout the</w:t>
      </w:r>
      <w:r>
        <w:rPr>
          <w:rFonts w:ascii="Times New Roman" w:hAnsi="Times New Roman" w:cs="Times New Roman" w:hint="eastAsia"/>
          <w:sz w:val="28"/>
          <w:szCs w:val="28"/>
        </w:rPr>
        <w:t xml:space="preserve"> inventory </w:t>
      </w:r>
      <w:r>
        <w:rPr>
          <w:rFonts w:ascii="Times New Roman" w:hAnsi="Times New Roman" w:cs="Times New Roman"/>
          <w:sz w:val="28"/>
          <w:szCs w:val="28"/>
        </w:rPr>
        <w:t>and</w:t>
      </w:r>
      <w:r>
        <w:rPr>
          <w:rFonts w:ascii="Times New Roman" w:hAnsi="Times New Roman" w:cs="Times New Roman" w:hint="eastAsia"/>
          <w:sz w:val="28"/>
          <w:szCs w:val="28"/>
        </w:rPr>
        <w:t xml:space="preserve"> accounting </w:t>
      </w:r>
      <w:r>
        <w:rPr>
          <w:rFonts w:ascii="Times New Roman" w:hAnsi="Times New Roman" w:cs="Times New Roman"/>
          <w:sz w:val="28"/>
          <w:szCs w:val="28"/>
        </w:rPr>
        <w:t xml:space="preserve">process, we </w:t>
      </w:r>
      <w:r>
        <w:rPr>
          <w:rFonts w:ascii="Times New Roman" w:hAnsi="Times New Roman" w:cs="Times New Roman" w:hint="eastAsia"/>
          <w:sz w:val="28"/>
          <w:szCs w:val="28"/>
        </w:rPr>
        <w:t xml:space="preserve">strictly </w:t>
      </w:r>
      <w:r>
        <w:rPr>
          <w:rFonts w:ascii="Times New Roman" w:hAnsi="Times New Roman" w:cs="Times New Roman"/>
          <w:sz w:val="28"/>
          <w:szCs w:val="28"/>
        </w:rPr>
        <w:t>adhere to internationally recognized and authoritative carbon inventory standards and methodologies to ensure the accuracy and reliability of the data.</w:t>
      </w:r>
    </w:p>
    <w:p w14:paraId="5131691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carbon inventory is not only an objective assessment of the</w:t>
      </w:r>
      <w:r>
        <w:rPr>
          <w:rFonts w:ascii="Times New Roman" w:hAnsi="Times New Roman" w:cs="Times New Roman" w:hint="eastAsia"/>
          <w:sz w:val="28"/>
          <w:szCs w:val="28"/>
        </w:rPr>
        <w:t xml:space="preserve"> company</w:t>
      </w:r>
      <w:r>
        <w:rPr>
          <w:rFonts w:ascii="Times New Roman" w:hAnsi="Times New Roman" w:cs="Times New Roman" w:hint="eastAsia"/>
          <w:sz w:val="28"/>
          <w:szCs w:val="28"/>
        </w:rPr>
        <w:t>’</w:t>
      </w:r>
      <w:r>
        <w:rPr>
          <w:rFonts w:ascii="Times New Roman" w:hAnsi="Times New Roman" w:cs="Times New Roman"/>
          <w:sz w:val="28"/>
          <w:szCs w:val="28"/>
        </w:rPr>
        <w:t xml:space="preserve">s environmental impact but also a crucial starting point on our journey toward sustainable development. Through this inventory, we aim to further enhance environmental awareness among all employees, optimize energy efficiency, drive technological innovation and green transformation, </w:t>
      </w:r>
      <w:r>
        <w:rPr>
          <w:rFonts w:ascii="Times New Roman" w:hAnsi="Times New Roman" w:cs="Times New Roman"/>
          <w:sz w:val="28"/>
          <w:szCs w:val="28"/>
        </w:rPr>
        <w:lastRenderedPageBreak/>
        <w:t>and lay a solid foundation for achieving the</w:t>
      </w:r>
      <w:r>
        <w:rPr>
          <w:rFonts w:ascii="Times New Roman" w:hAnsi="Times New Roman" w:cs="Times New Roman" w:hint="eastAsia"/>
          <w:sz w:val="28"/>
          <w:szCs w:val="28"/>
        </w:rPr>
        <w:t xml:space="preserve"> 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w:t>
      </w:r>
      <w:r>
        <w:rPr>
          <w:rFonts w:ascii="Times New Roman" w:hAnsi="Times New Roman" w:cs="Times New Roman"/>
          <w:sz w:val="28"/>
          <w:szCs w:val="28"/>
        </w:rPr>
        <w:t>carbon neutrality goals.</w:t>
      </w:r>
    </w:p>
    <w:p w14:paraId="6F98B78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Moving forward, we will continue to uphold the philosophy of green development, actively fulfill our corporate social responsibilities, and join hands with our partners to collectively address the challenges of climate change, contributing to the building of a low-carbon, sustainable future.</w:t>
      </w:r>
    </w:p>
    <w:p w14:paraId="50C55D4E" w14:textId="77777777" w:rsidR="002E68E2" w:rsidRDefault="00000000">
      <w:pPr>
        <w:pStyle w:val="20"/>
        <w:rPr>
          <w:sz w:val="28"/>
          <w:szCs w:val="28"/>
        </w:rPr>
      </w:pPr>
      <w:r>
        <w:rPr>
          <w:sz w:val="28"/>
          <w:szCs w:val="28"/>
        </w:rPr>
        <w:t xml:space="preserve"> </w:t>
      </w:r>
      <w:bookmarkStart w:id="2" w:name="_Toc3823"/>
      <w:bookmarkStart w:id="3" w:name="_Toc5240"/>
      <w:r>
        <w:rPr>
          <w:sz w:val="28"/>
          <w:szCs w:val="28"/>
        </w:rPr>
        <w:t>1.1 Company Profile</w:t>
      </w:r>
      <w:bookmarkEnd w:id="2"/>
      <w:bookmarkEnd w:id="3"/>
    </w:p>
    <w:p w14:paraId="3E995A12" w14:textId="1D14CDF6"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w:t>
      </w:r>
      <w:r w:rsidR="00F51219" w:rsidRPr="00F51219">
        <w:rPr>
          <w:rFonts w:ascii="Times New Roman" w:hAnsi="Times New Roman" w:cs="Times New Roman"/>
          <w:sz w:val="28"/>
          <w:szCs w:val="28"/>
        </w:rPr>
        <w:t>Toenergy Technology Hangzhou Co.,Ltd</w:t>
      </w:r>
      <w:r w:rsidR="00F51219">
        <w:rPr>
          <w:rFonts w:ascii="Times New Roman" w:hAnsi="Times New Roman" w:cs="Times New Roman" w:hint="eastAsia"/>
          <w:sz w:val="28"/>
          <w:szCs w:val="28"/>
        </w:rPr>
        <w:t>.</w:t>
      </w:r>
      <w:r>
        <w:rPr>
          <w:rFonts w:ascii="Times New Roman" w:hAnsi="Times New Roman" w:cs="Times New Roman"/>
          <w:sz w:val="28"/>
          <w:szCs w:val="28"/>
        </w:rPr>
        <w:t xml:space="preserve"> (hereinafter referred to as “</w:t>
      </w:r>
      <w:bookmarkStart w:id="4" w:name="OLE_LINK1"/>
      <w:r w:rsidR="00F51219">
        <w:rPr>
          <w:rFonts w:ascii="Times New Roman" w:hAnsi="Times New Roman" w:cs="Times New Roman" w:hint="eastAsia"/>
          <w:sz w:val="28"/>
          <w:szCs w:val="28"/>
        </w:rPr>
        <w:t>TOCN</w:t>
      </w:r>
      <w:bookmarkEnd w:id="4"/>
      <w:r>
        <w:rPr>
          <w:rFonts w:ascii="Times New Roman" w:hAnsi="Times New Roman" w:cs="Times New Roman"/>
          <w:sz w:val="28"/>
          <w:szCs w:val="28"/>
        </w:rPr>
        <w:t>”), established in 2012 and headquartered in Hangzhou, China, is a comprehensive energy technology enterprise deeply rooted in the photovoltaic (PV) renewable energy sector with a global market presence.The company focuses on the photovoltaic new energy business with meticulous dedication, possessing comprehensive capabilities in independent R&amp;D and manufacturing of photovoltaic products, global supply chain integration, and the provision of end-to-end photovoltaic energy solutions. Leveraging its robust technical expertise and full-industry-chain advantages, the company has consistently held the top global market share in the field of intelligent photovoltaic tracking systems for many years, establishing itself as a trusted green energy solutions provider for customers worldwide.Adhering to a global development strategy, the company has established multiple modern production bases and overseas warehousing and distribution centers in China, Malaysia, and the United States. Simultaneously, it has built an independent and comprehensive supply chain system—spanning from polysilicon to modules—both domestically and internationally. This breaks geographical barriers, ensures a stable supply to meet global customer demand, and enables a global service model characterized by local delivery and efficient response.</w:t>
      </w:r>
    </w:p>
    <w:p w14:paraId="1C212B20" w14:textId="5946C9BF"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Leveraging its deep technical expertise and full-industry-chain advantages, </w:t>
      </w:r>
      <w:r w:rsidR="00F51219" w:rsidRPr="00F51219">
        <w:rPr>
          <w:rFonts w:ascii="Times New Roman" w:hAnsi="Times New Roman" w:cs="Times New Roman"/>
          <w:sz w:val="28"/>
          <w:szCs w:val="28"/>
        </w:rPr>
        <w:t>TOCN</w:t>
      </w:r>
      <w:r>
        <w:rPr>
          <w:rFonts w:ascii="Times New Roman" w:hAnsi="Times New Roman" w:cs="Times New Roman"/>
          <w:sz w:val="28"/>
          <w:szCs w:val="28"/>
        </w:rPr>
        <w:t xml:space="preserve"> places customer needs at the core of its operations, tailoring personalized, comprehensive photovoltaic energy solutions for diverse global users. Its business spans a wide range of application scenarios, offering not only photovoltaic power plant development and investment construction services but also specialized solutions such as PV+storage systems, villa PV tile systems, and balcony PV systems. These offerings comprehensively meet the green energy demands of various sectors, including commercial and industrial, residential, and large-scale power plants.Looking ahead, the company will remain committed to its founding spirit of innovation, continue to deepen its focus on the photovoltaic new energy sector, and continuously optimize its R&amp;D capabilities and global footprint. Through high-quality products and one-stop services, we will support the global energy transition, promote green, low-carbon, and sustainable development, and </w:t>
      </w:r>
      <w:r>
        <w:rPr>
          <w:rFonts w:ascii="Times New Roman" w:hAnsi="Times New Roman" w:cs="Times New Roman" w:hint="eastAsia"/>
          <w:sz w:val="28"/>
          <w:szCs w:val="28"/>
        </w:rPr>
        <w:t xml:space="preserve">strive </w:t>
      </w:r>
      <w:r>
        <w:rPr>
          <w:rFonts w:ascii="Times New Roman" w:hAnsi="Times New Roman" w:cs="Times New Roman"/>
          <w:sz w:val="28"/>
          <w:szCs w:val="28"/>
        </w:rPr>
        <w:t>to build a globally influential leading brand in the photovoltaic industry.</w:t>
      </w:r>
      <w:r>
        <w:rPr>
          <w:rFonts w:ascii="Times New Roman" w:hAnsi="Times New Roman" w:cs="Times New Roman"/>
          <w:sz w:val="28"/>
          <w:szCs w:val="28"/>
        </w:rPr>
        <w:br w:type="page"/>
      </w:r>
    </w:p>
    <w:p w14:paraId="3F802226" w14:textId="77777777" w:rsidR="002E68E2" w:rsidRDefault="00000000">
      <w:pPr>
        <w:pStyle w:val="1"/>
        <w:rPr>
          <w:sz w:val="32"/>
          <w:szCs w:val="32"/>
        </w:rPr>
      </w:pPr>
      <w:r>
        <w:rPr>
          <w:sz w:val="32"/>
          <w:szCs w:val="32"/>
        </w:rPr>
        <w:lastRenderedPageBreak/>
        <w:t xml:space="preserve"> </w:t>
      </w:r>
      <w:bookmarkStart w:id="5" w:name="_Toc17686"/>
      <w:bookmarkStart w:id="6" w:name="_Toc21719"/>
      <w:r>
        <w:rPr>
          <w:sz w:val="32"/>
          <w:szCs w:val="32"/>
        </w:rPr>
        <w:t>2. Notes on the Preparation of the Greenhouse Gas Inventory Report</w:t>
      </w:r>
      <w:bookmarkEnd w:id="5"/>
      <w:bookmarkEnd w:id="6"/>
    </w:p>
    <w:p w14:paraId="31AAD622" w14:textId="77777777" w:rsidR="002E68E2" w:rsidRDefault="00000000">
      <w:pPr>
        <w:pStyle w:val="20"/>
        <w:rPr>
          <w:sz w:val="28"/>
          <w:szCs w:val="28"/>
        </w:rPr>
      </w:pPr>
      <w:r>
        <w:rPr>
          <w:sz w:val="28"/>
          <w:szCs w:val="28"/>
        </w:rPr>
        <w:t xml:space="preserve"> </w:t>
      </w:r>
      <w:bookmarkStart w:id="7" w:name="_Toc13076"/>
      <w:bookmarkStart w:id="8" w:name="_Toc12362"/>
      <w:r>
        <w:rPr>
          <w:sz w:val="28"/>
          <w:szCs w:val="28"/>
        </w:rPr>
        <w:t>2.1 Report Objectives</w:t>
      </w:r>
      <w:bookmarkEnd w:id="7"/>
      <w:bookmarkEnd w:id="8"/>
    </w:p>
    <w:p w14:paraId="01E5B76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purpose of conducting the 2025 greenhouse gas emissions inventory and preparing the 2025 Carbon Inventory Report is to help the company understand historical greenhouse gas emissions data, assess the current status of carbon emissions, identify emission reduction opportunities based on this analysis, promote internal carbon emissions management, and gradually achieve the emission reduction targets set in the carbon goals.</w:t>
      </w:r>
    </w:p>
    <w:p w14:paraId="64B90D0E" w14:textId="77777777" w:rsidR="002E68E2" w:rsidRDefault="00000000">
      <w:pPr>
        <w:pStyle w:val="20"/>
        <w:rPr>
          <w:sz w:val="28"/>
          <w:szCs w:val="28"/>
        </w:rPr>
      </w:pPr>
      <w:r>
        <w:rPr>
          <w:sz w:val="28"/>
          <w:szCs w:val="28"/>
        </w:rPr>
        <w:t xml:space="preserve"> </w:t>
      </w:r>
      <w:bookmarkStart w:id="9" w:name="_Toc5293"/>
      <w:bookmarkStart w:id="10" w:name="_Toc16822"/>
      <w:r>
        <w:rPr>
          <w:sz w:val="28"/>
          <w:szCs w:val="28"/>
        </w:rPr>
        <w:t>2.2 Basis for Report Preparation</w:t>
      </w:r>
      <w:bookmarkEnd w:id="9"/>
      <w:bookmarkEnd w:id="10"/>
    </w:p>
    <w:p w14:paraId="2A36C5D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inventory and report preparation were conducted in reference to the "Greenhouse Gas Accounting Framework: Standards for Corporate Accounting and Reporting</w:t>
      </w:r>
      <w:r>
        <w:rPr>
          <w:rFonts w:ascii="Times New Roman" w:hAnsi="Times New Roman" w:cs="Times New Roman" w:hint="eastAsia"/>
          <w:sz w:val="28"/>
          <w:szCs w:val="28"/>
        </w:rPr>
        <w:t>,</w:t>
      </w:r>
      <w:r>
        <w:rPr>
          <w:rFonts w:ascii="Times New Roman" w:hAnsi="Times New Roman" w:cs="Times New Roman"/>
          <w:sz w:val="28"/>
          <w:szCs w:val="28"/>
        </w:rPr>
        <w:t>" the "Greenhouse Gas Accounting Framework Scope 2 Guidelines," the "Corporate Value Chain (Scope 3) Accounting and Reporting Standards</w:t>
      </w:r>
      <w:r>
        <w:rPr>
          <w:rFonts w:ascii="Times New Roman" w:hAnsi="Times New Roman" w:cs="Times New Roman" w:hint="eastAsia"/>
          <w:sz w:val="28"/>
          <w:szCs w:val="28"/>
        </w:rPr>
        <w:t>," the "Greenhouse Gas Emission Accounting Methods and Reporting Guidelines for Enterprises in Other Industrial Sectors (Trial)," and the "2006 IPCC Guidelines for National Greenhouse Gas Inventories" (2019 updated version)</w:t>
      </w:r>
      <w:r>
        <w:rPr>
          <w:rFonts w:ascii="Times New Roman" w:hAnsi="Times New Roman" w:cs="Times New Roman"/>
          <w:sz w:val="28"/>
          <w:szCs w:val="28"/>
        </w:rPr>
        <w:t>.</w:t>
      </w:r>
    </w:p>
    <w:p w14:paraId="12511F07" w14:textId="77777777" w:rsidR="002E68E2" w:rsidRDefault="00000000">
      <w:pPr>
        <w:pStyle w:val="20"/>
        <w:rPr>
          <w:sz w:val="28"/>
          <w:szCs w:val="28"/>
        </w:rPr>
      </w:pPr>
      <w:r>
        <w:rPr>
          <w:sz w:val="28"/>
          <w:szCs w:val="28"/>
        </w:rPr>
        <w:t xml:space="preserve"> </w:t>
      </w:r>
      <w:bookmarkStart w:id="11" w:name="_Toc5731"/>
      <w:bookmarkStart w:id="12" w:name="_Toc30150"/>
      <w:r>
        <w:rPr>
          <w:sz w:val="28"/>
          <w:szCs w:val="28"/>
        </w:rPr>
        <w:t>2.3 Principles of Report Preparation</w:t>
      </w:r>
      <w:bookmarkEnd w:id="11"/>
      <w:bookmarkEnd w:id="12"/>
    </w:p>
    <w:p w14:paraId="4D20196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This report calculates and compiles greenhouse gas information in accordance with the principles of completeness, consistency, accuracy, relevance, and transparency.</w:t>
      </w:r>
    </w:p>
    <w:p w14:paraId="637C21D1" w14:textId="77777777" w:rsidR="002E68E2" w:rsidRDefault="00000000">
      <w:pPr>
        <w:pStyle w:val="20"/>
        <w:rPr>
          <w:sz w:val="28"/>
          <w:szCs w:val="28"/>
        </w:rPr>
      </w:pPr>
      <w:r>
        <w:rPr>
          <w:sz w:val="28"/>
          <w:szCs w:val="28"/>
        </w:rPr>
        <w:t xml:space="preserve"> </w:t>
      </w:r>
      <w:bookmarkStart w:id="13" w:name="_Toc2929"/>
      <w:bookmarkStart w:id="14" w:name="_Toc15437"/>
      <w:r>
        <w:rPr>
          <w:sz w:val="28"/>
          <w:szCs w:val="28"/>
        </w:rPr>
        <w:t>2.4 Reporting Period</w:t>
      </w:r>
      <w:bookmarkEnd w:id="13"/>
      <w:bookmarkEnd w:id="14"/>
    </w:p>
    <w:p w14:paraId="2C2A4A1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time frame covered by this carbon inventory report is from January 1,</w:t>
      </w:r>
      <w:r>
        <w:rPr>
          <w:rFonts w:ascii="Times New Roman" w:hAnsi="Times New Roman" w:cs="Times New Roman" w:hint="eastAsia"/>
          <w:sz w:val="28"/>
          <w:szCs w:val="28"/>
        </w:rPr>
        <w:t xml:space="preserve"> 2025, </w:t>
      </w:r>
      <w:r>
        <w:rPr>
          <w:rFonts w:ascii="Times New Roman" w:hAnsi="Times New Roman" w:cs="Times New Roman"/>
          <w:sz w:val="28"/>
          <w:szCs w:val="28"/>
        </w:rPr>
        <w:t>to December 31, 2025.</w:t>
      </w:r>
    </w:p>
    <w:p w14:paraId="6D69DF53" w14:textId="77777777" w:rsidR="002E68E2" w:rsidRDefault="00000000">
      <w:pPr>
        <w:pStyle w:val="20"/>
        <w:rPr>
          <w:sz w:val="28"/>
          <w:szCs w:val="28"/>
        </w:rPr>
      </w:pPr>
      <w:r>
        <w:rPr>
          <w:sz w:val="28"/>
          <w:szCs w:val="28"/>
        </w:rPr>
        <w:lastRenderedPageBreak/>
        <w:t xml:space="preserve"> </w:t>
      </w:r>
      <w:bookmarkStart w:id="15" w:name="_Toc13477"/>
      <w:bookmarkStart w:id="16" w:name="_Toc11653"/>
      <w:r>
        <w:rPr>
          <w:sz w:val="28"/>
          <w:szCs w:val="28"/>
        </w:rPr>
        <w:t>2.5 Responsibility for Report Preparation</w:t>
      </w:r>
      <w:bookmarkEnd w:id="15"/>
      <w:bookmarkEnd w:id="16"/>
    </w:p>
    <w:p w14:paraId="11A9541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Company’s </w:t>
      </w:r>
      <w:r>
        <w:rPr>
          <w:rFonts w:ascii="Times New Roman" w:hAnsi="Times New Roman" w:cs="Times New Roman" w:hint="eastAsia"/>
          <w:sz w:val="28"/>
          <w:szCs w:val="28"/>
        </w:rPr>
        <w:t xml:space="preserve">Performance Management Department </w:t>
      </w:r>
      <w:r>
        <w:rPr>
          <w:rFonts w:ascii="Times New Roman" w:hAnsi="Times New Roman" w:cs="Times New Roman"/>
          <w:sz w:val="28"/>
          <w:szCs w:val="28"/>
        </w:rPr>
        <w:t xml:space="preserve">is responsible for compiling the greenhouse gas report, which is submitted to </w:t>
      </w:r>
      <w:r>
        <w:rPr>
          <w:rFonts w:ascii="Times New Roman" w:hAnsi="Times New Roman" w:cs="Times New Roman" w:hint="eastAsia"/>
          <w:sz w:val="28"/>
          <w:szCs w:val="28"/>
        </w:rPr>
        <w:t xml:space="preserve">senior management </w:t>
      </w:r>
      <w:r>
        <w:rPr>
          <w:rFonts w:ascii="Times New Roman" w:hAnsi="Times New Roman" w:cs="Times New Roman"/>
          <w:sz w:val="28"/>
          <w:szCs w:val="28"/>
        </w:rPr>
        <w:t xml:space="preserve">for review and approval. The report may only be issued after being signed off by </w:t>
      </w:r>
      <w:r>
        <w:rPr>
          <w:rFonts w:ascii="Times New Roman" w:hAnsi="Times New Roman" w:cs="Times New Roman" w:hint="eastAsia"/>
          <w:sz w:val="28"/>
          <w:szCs w:val="28"/>
        </w:rPr>
        <w:t>the General Manager</w:t>
      </w:r>
      <w:r>
        <w:rPr>
          <w:rFonts w:ascii="Times New Roman" w:hAnsi="Times New Roman" w:cs="Times New Roman"/>
          <w:sz w:val="28"/>
          <w:szCs w:val="28"/>
        </w:rPr>
        <w:t>.</w:t>
      </w:r>
    </w:p>
    <w:p w14:paraId="280C91D0" w14:textId="77777777" w:rsidR="002E68E2" w:rsidRDefault="002E68E2">
      <w:pPr>
        <w:adjustRightInd w:val="0"/>
        <w:snapToGrid w:val="0"/>
        <w:spacing w:after="0" w:line="360" w:lineRule="auto"/>
        <w:ind w:firstLineChars="200" w:firstLine="440"/>
        <w:jc w:val="both"/>
        <w:rPr>
          <w:rFonts w:ascii="Times New Roman" w:hAnsi="Times New Roman" w:cs="Times New Roman"/>
        </w:rPr>
      </w:pPr>
    </w:p>
    <w:p w14:paraId="054291A9" w14:textId="77777777" w:rsidR="002E68E2" w:rsidRDefault="00000000">
      <w:pPr>
        <w:pStyle w:val="1"/>
        <w:rPr>
          <w:sz w:val="32"/>
          <w:szCs w:val="32"/>
        </w:rPr>
      </w:pPr>
      <w:r>
        <w:rPr>
          <w:sz w:val="32"/>
          <w:szCs w:val="32"/>
        </w:rPr>
        <w:t xml:space="preserve"> </w:t>
      </w:r>
      <w:bookmarkStart w:id="17" w:name="_Toc31520"/>
      <w:bookmarkStart w:id="18" w:name="_Toc1191"/>
      <w:r>
        <w:rPr>
          <w:sz w:val="32"/>
          <w:szCs w:val="32"/>
        </w:rPr>
        <w:t>3. Description of Organizational and Operational Boundaries</w:t>
      </w:r>
      <w:bookmarkEnd w:id="17"/>
      <w:bookmarkEnd w:id="18"/>
    </w:p>
    <w:p w14:paraId="65DAC39A" w14:textId="77777777" w:rsidR="002E68E2" w:rsidRDefault="00000000">
      <w:pPr>
        <w:pStyle w:val="20"/>
        <w:rPr>
          <w:sz w:val="28"/>
          <w:szCs w:val="28"/>
        </w:rPr>
      </w:pPr>
      <w:r>
        <w:rPr>
          <w:sz w:val="28"/>
          <w:szCs w:val="28"/>
        </w:rPr>
        <w:t xml:space="preserve"> </w:t>
      </w:r>
      <w:bookmarkStart w:id="19" w:name="_Toc4053"/>
      <w:bookmarkStart w:id="20" w:name="_Toc21330"/>
      <w:r>
        <w:rPr>
          <w:sz w:val="28"/>
          <w:szCs w:val="28"/>
        </w:rPr>
        <w:t>3.1 Definition of Organizational Boundaries</w:t>
      </w:r>
      <w:bookmarkEnd w:id="19"/>
      <w:bookmarkEnd w:id="20"/>
    </w:p>
    <w:p w14:paraId="148EE887" w14:textId="7A4FED3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For this carbon inventory, </w:t>
      </w:r>
      <w:r w:rsidR="00F51219" w:rsidRPr="00F51219">
        <w:rPr>
          <w:rFonts w:ascii="Times New Roman" w:hAnsi="Times New Roman" w:cs="Times New Roman"/>
          <w:sz w:val="28"/>
          <w:szCs w:val="28"/>
        </w:rPr>
        <w:t>TOCN</w:t>
      </w:r>
      <w:r>
        <w:rPr>
          <w:rFonts w:ascii="Times New Roman" w:hAnsi="Times New Roman" w:cs="Times New Roman" w:hint="eastAsia"/>
          <w:sz w:val="28"/>
          <w:szCs w:val="28"/>
        </w:rPr>
        <w:t xml:space="preserve"> </w:t>
      </w:r>
      <w:r>
        <w:rPr>
          <w:rFonts w:ascii="Times New Roman" w:hAnsi="Times New Roman" w:cs="Times New Roman"/>
          <w:sz w:val="28"/>
          <w:szCs w:val="28"/>
        </w:rPr>
        <w:t>adopted the</w:t>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sz w:val="28"/>
          <w:szCs w:val="28"/>
        </w:rPr>
        <w:t xml:space="preserve">operational </w:t>
      </w:r>
      <w:r>
        <w:rPr>
          <w:rFonts w:ascii="Times New Roman" w:hAnsi="Times New Roman" w:cs="Times New Roman" w:hint="eastAsia"/>
          <w:sz w:val="28"/>
          <w:szCs w:val="28"/>
        </w:rPr>
        <w:t>control</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approach to define its organizational boundary. In accordance with the principles of operational control, the organizational boundary encompasses all facilities of </w:t>
      </w:r>
      <w:r w:rsidR="00F51219" w:rsidRPr="00F51219">
        <w:rPr>
          <w:rFonts w:ascii="Times New Roman" w:hAnsi="Times New Roman" w:cs="Times New Roman"/>
          <w:sz w:val="28"/>
          <w:szCs w:val="28"/>
        </w:rPr>
        <w:t>TOCN</w:t>
      </w:r>
      <w:r>
        <w:rPr>
          <w:rFonts w:ascii="Times New Roman" w:hAnsi="Times New Roman" w:cs="Times New Roman"/>
          <w:sz w:val="28"/>
          <w:szCs w:val="28"/>
        </w:rPr>
        <w:t xml:space="preserve">’s headquarters and subsidiaries included in the consolidated financial statements, based on the manner of operational control. Emissions sources and emission volumes within this organizational boundary were inventoried and reported.The organizational boundary </w:t>
      </w:r>
      <w:r>
        <w:rPr>
          <w:rFonts w:ascii="Times New Roman" w:hAnsi="Times New Roman" w:cs="Times New Roman" w:hint="eastAsia"/>
          <w:sz w:val="28"/>
          <w:szCs w:val="28"/>
        </w:rPr>
        <w:t>for</w:t>
      </w:r>
      <w:r>
        <w:rPr>
          <w:rFonts w:ascii="Times New Roman" w:hAnsi="Times New Roman" w:cs="Times New Roman"/>
          <w:sz w:val="28"/>
          <w:szCs w:val="28"/>
        </w:rPr>
        <w:t xml:space="preserve"> this inventory </w:t>
      </w:r>
      <w:r>
        <w:rPr>
          <w:rFonts w:ascii="Times New Roman" w:hAnsi="Times New Roman" w:cs="Times New Roman" w:hint="eastAsia"/>
          <w:sz w:val="28"/>
          <w:szCs w:val="28"/>
        </w:rPr>
        <w:t xml:space="preserve">is the factory of </w:t>
      </w:r>
      <w:r w:rsidR="00F51219" w:rsidRPr="00F51219">
        <w:rPr>
          <w:rFonts w:ascii="Times New Roman" w:hAnsi="Times New Roman" w:cs="Times New Roman"/>
          <w:sz w:val="28"/>
          <w:szCs w:val="28"/>
        </w:rPr>
        <w:t>Toenergy Technology Hangzhou Co.,Ltd</w:t>
      </w:r>
      <w:r w:rsidR="00F51219">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located </w:t>
      </w:r>
      <w:r>
        <w:rPr>
          <w:rFonts w:ascii="Times New Roman" w:hAnsi="Times New Roman" w:cs="Times New Roman" w:hint="eastAsia"/>
          <w:sz w:val="28"/>
          <w:szCs w:val="28"/>
        </w:rPr>
        <w:t>at</w:t>
      </w:r>
      <w:r>
        <w:rPr>
          <w:rFonts w:ascii="Times New Roman" w:hAnsi="Times New Roman" w:cs="Times New Roman"/>
          <w:sz w:val="28"/>
          <w:szCs w:val="28"/>
        </w:rPr>
        <w:t xml:space="preserve"> No. 3 Gaoxin 9th Road</w:t>
      </w:r>
      <w:r>
        <w:rPr>
          <w:rFonts w:ascii="Times New Roman" w:hAnsi="Times New Roman" w:cs="Times New Roman" w:hint="eastAsia"/>
          <w:sz w:val="28"/>
          <w:szCs w:val="28"/>
        </w:rPr>
        <w:t>,</w:t>
      </w:r>
      <w:r>
        <w:rPr>
          <w:rFonts w:ascii="Times New Roman" w:hAnsi="Times New Roman" w:cs="Times New Roman"/>
          <w:sz w:val="28"/>
          <w:szCs w:val="28"/>
        </w:rPr>
        <w:t xml:space="preserve"> Qiaonan Block, Economic and Technological Development Zone, Xiaoshan District, Hangzhou City, Zhejiang Province</w:t>
      </w:r>
      <w:r>
        <w:rPr>
          <w:rFonts w:ascii="Times New Roman" w:hAnsi="Times New Roman" w:cs="Times New Roman" w:hint="eastAsia"/>
          <w:sz w:val="28"/>
          <w:szCs w:val="28"/>
        </w:rPr>
        <w:t>, and does not include other sites.</w:t>
      </w:r>
    </w:p>
    <w:p w14:paraId="497B4701" w14:textId="77777777" w:rsidR="002E68E2" w:rsidRDefault="00000000">
      <w:pPr>
        <w:pStyle w:val="20"/>
        <w:rPr>
          <w:sz w:val="28"/>
          <w:szCs w:val="28"/>
        </w:rPr>
      </w:pPr>
      <w:r>
        <w:rPr>
          <w:sz w:val="28"/>
          <w:szCs w:val="28"/>
        </w:rPr>
        <w:t xml:space="preserve"> </w:t>
      </w:r>
      <w:bookmarkStart w:id="21" w:name="_Toc11727"/>
      <w:bookmarkStart w:id="22" w:name="_Toc19960"/>
      <w:r>
        <w:rPr>
          <w:sz w:val="28"/>
          <w:szCs w:val="28"/>
        </w:rPr>
        <w:t>3.2 Establishment of Operational Boundaries</w:t>
      </w:r>
      <w:bookmarkEnd w:id="21"/>
      <w:bookmarkEnd w:id="22"/>
    </w:p>
    <w:p w14:paraId="195FC18A"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Company establishes and documents the reporting boundary in accordance</w:t>
      </w:r>
      <w:r>
        <w:rPr>
          <w:rFonts w:ascii="Times New Roman" w:hAnsi="Times New Roman" w:cs="Times New Roman" w:hint="eastAsia"/>
          <w:sz w:val="28"/>
          <w:szCs w:val="28"/>
        </w:rPr>
        <w:t xml:space="preserve"> with </w:t>
      </w:r>
      <w:r>
        <w:rPr>
          <w:rFonts w:ascii="Times New Roman" w:hAnsi="Times New Roman" w:cs="Times New Roman"/>
          <w:sz w:val="28"/>
          <w:szCs w:val="28"/>
        </w:rPr>
        <w:t>the standards described in Section 2.2, including the identification of direct and indirect greenhouse gas emissions associated with the Company’s operations. For emissions in each scope, the Company quantifies carbon dioxide (</w:t>
      </w:r>
      <w:r>
        <w:rPr>
          <w:rFonts w:ascii="Times New Roman" w:hAnsi="Times New Roman" w:cs="Times New Roman"/>
          <w:sz w:val="28"/>
          <w:szCs w:val="28"/>
          <w:vertAlign w:val="subscript"/>
        </w:rPr>
        <w:t>CO₂</w:t>
      </w:r>
      <w:r>
        <w:rPr>
          <w:rFonts w:ascii="Times New Roman" w:hAnsi="Times New Roman" w:cs="Times New Roman"/>
          <w:sz w:val="28"/>
          <w:szCs w:val="28"/>
        </w:rPr>
        <w:t>), methane (</w:t>
      </w:r>
      <w:r>
        <w:rPr>
          <w:rFonts w:ascii="Times New Roman" w:hAnsi="Times New Roman" w:cs="Times New Roman"/>
          <w:sz w:val="28"/>
          <w:szCs w:val="28"/>
          <w:vertAlign w:val="subscript"/>
        </w:rPr>
        <w:t>CH₄</w:t>
      </w:r>
      <w:r>
        <w:rPr>
          <w:rFonts w:ascii="Times New Roman" w:hAnsi="Times New Roman" w:cs="Times New Roman"/>
          <w:sz w:val="28"/>
          <w:szCs w:val="28"/>
        </w:rPr>
        <w:t>), nitrous oxide (N</w:t>
      </w:r>
      <w:r>
        <w:rPr>
          <w:rFonts w:ascii="Times New Roman" w:hAnsi="Times New Roman" w:cs="Times New Roman"/>
          <w:sz w:val="28"/>
          <w:szCs w:val="28"/>
          <w:vertAlign w:val="subscript"/>
        </w:rPr>
        <w:t>2</w:t>
      </w:r>
      <w:r>
        <w:rPr>
          <w:rFonts w:ascii="Times New Roman" w:hAnsi="Times New Roman" w:cs="Times New Roman"/>
          <w:sz w:val="28"/>
          <w:szCs w:val="28"/>
        </w:rPr>
        <w:t>O),</w:t>
      </w:r>
      <w:bookmarkStart w:id="23" w:name="OLE_LINK2"/>
      <w:r>
        <w:rPr>
          <w:rFonts w:ascii="Times New Roman" w:hAnsi="Times New Roman" w:cs="Times New Roman"/>
          <w:sz w:val="28"/>
          <w:szCs w:val="28"/>
        </w:rPr>
        <w:t xml:space="preserve"> </w:t>
      </w:r>
      <w:r>
        <w:rPr>
          <w:rFonts w:ascii="Times New Roman" w:hAnsi="Times New Roman" w:cs="Times New Roman"/>
          <w:sz w:val="28"/>
          <w:szCs w:val="28"/>
        </w:rPr>
        <w:lastRenderedPageBreak/>
        <w:t>hydrofluorocarbons (HFCs),</w:t>
      </w:r>
      <w:bookmarkEnd w:id="23"/>
      <w:r>
        <w:rPr>
          <w:rFonts w:ascii="Times New Roman" w:hAnsi="Times New Roman" w:cs="Times New Roman"/>
          <w:sz w:val="28"/>
          <w:szCs w:val="28"/>
        </w:rPr>
        <w:t xml:space="preserve"> perfluorocarbons (PFCs)</w:t>
      </w:r>
      <w:r>
        <w:rPr>
          <w:rFonts w:ascii="Times New Roman" w:hAnsi="Times New Roman" w:cs="Times New Roman" w:hint="eastAsia"/>
          <w:sz w:val="28"/>
          <w:szCs w:val="28"/>
        </w:rPr>
        <w:t xml:space="preserve">, </w:t>
      </w:r>
      <w:r>
        <w:rPr>
          <w:rFonts w:ascii="Times New Roman" w:hAnsi="Times New Roman" w:cs="Times New Roman"/>
          <w:sz w:val="28"/>
          <w:szCs w:val="28"/>
        </w:rPr>
        <w:t>sulfur hexafluoride (SF</w:t>
      </w:r>
      <w:r>
        <w:rPr>
          <w:rFonts w:ascii="Times New Roman" w:hAnsi="Times New Roman" w:cs="Times New Roman"/>
          <w:sz w:val="28"/>
          <w:szCs w:val="28"/>
          <w:vertAlign w:val="subscript"/>
        </w:rPr>
        <w:t>6</w:t>
      </w:r>
      <w:r>
        <w:rPr>
          <w:rFonts w:ascii="Times New Roman" w:hAnsi="Times New Roman" w:cs="Times New Roman"/>
          <w:sz w:val="28"/>
          <w:szCs w:val="28"/>
        </w:rPr>
        <w:t>)</w:t>
      </w:r>
      <w:r>
        <w:rPr>
          <w:rFonts w:ascii="Times New Roman" w:hAnsi="Times New Roman" w:cs="Times New Roman" w:hint="eastAsia"/>
          <w:sz w:val="28"/>
          <w:szCs w:val="28"/>
        </w:rPr>
        <w:t>, and nitrogen trifluoride (NF</w:t>
      </w:r>
      <w:r>
        <w:rPr>
          <w:rFonts w:ascii="Times New Roman" w:hAnsi="Times New Roman" w:cs="Times New Roman" w:hint="eastAsia"/>
          <w:sz w:val="28"/>
          <w:szCs w:val="28"/>
          <w:vertAlign w:val="subscript"/>
        </w:rPr>
        <w:t>3</w:t>
      </w:r>
      <w:r>
        <w:rPr>
          <w:rFonts w:ascii="Times New Roman" w:hAnsi="Times New Roman" w:cs="Times New Roman" w:hint="eastAsia"/>
          <w:sz w:val="28"/>
          <w:szCs w:val="28"/>
        </w:rPr>
        <w:t>)</w:t>
      </w:r>
      <w:r>
        <w:rPr>
          <w:rFonts w:ascii="Times New Roman" w:hAnsi="Times New Roman" w:cs="Times New Roman"/>
          <w:sz w:val="28"/>
          <w:szCs w:val="28"/>
        </w:rPr>
        <w:t>, and uniformly expressed in tons of carbon dioxide equivalent (tCO</w:t>
      </w:r>
      <w:r>
        <w:rPr>
          <w:rFonts w:ascii="Times New Roman" w:hAnsi="Times New Roman" w:cs="Times New Roman"/>
          <w:sz w:val="28"/>
          <w:szCs w:val="28"/>
          <w:vertAlign w:val="subscript"/>
        </w:rPr>
        <w:t>2</w:t>
      </w:r>
      <w:r>
        <w:rPr>
          <w:rFonts w:ascii="Times New Roman" w:hAnsi="Times New Roman" w:cs="Times New Roman"/>
          <w:sz w:val="28"/>
          <w:szCs w:val="28"/>
        </w:rPr>
        <w:t>e).</w:t>
      </w:r>
    </w:p>
    <w:p w14:paraId="09908C40" w14:textId="77777777" w:rsidR="002E68E2" w:rsidRDefault="00000000">
      <w:pPr>
        <w:pStyle w:val="3"/>
        <w:rPr>
          <w:sz w:val="28"/>
          <w:szCs w:val="28"/>
        </w:rPr>
      </w:pPr>
      <w:bookmarkStart w:id="24" w:name="_Toc16575"/>
      <w:bookmarkStart w:id="25" w:name="_Toc17103"/>
      <w:r>
        <w:rPr>
          <w:sz w:val="28"/>
          <w:szCs w:val="28"/>
        </w:rPr>
        <w:t xml:space="preserve"> 3.2.1 Scope 1 Direct Emissions</w:t>
      </w:r>
      <w:bookmarkEnd w:id="24"/>
      <w:bookmarkEnd w:id="25"/>
    </w:p>
    <w:p w14:paraId="096120CF"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Greenhouse gas emissions from sources owned or controlled by the company.</w:t>
      </w:r>
    </w:p>
    <w:p w14:paraId="6E346975"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3.2.1.1 Stationary </w:t>
      </w:r>
      <w:r>
        <w:rPr>
          <w:rFonts w:ascii="Times New Roman" w:hAnsi="Times New Roman" w:cs="Times New Roman" w:hint="eastAsia"/>
          <w:b/>
          <w:bCs/>
          <w:sz w:val="28"/>
          <w:szCs w:val="28"/>
        </w:rPr>
        <w:t>Source Emissions</w:t>
      </w:r>
    </w:p>
    <w:p w14:paraId="6BBE998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is not involved in emissions from stationary sources.</w:t>
      </w:r>
    </w:p>
    <w:p w14:paraId="0A158D5E"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3.2.1.2 Mobile </w:t>
      </w:r>
      <w:r>
        <w:rPr>
          <w:rFonts w:ascii="Times New Roman" w:hAnsi="Times New Roman" w:cs="Times New Roman" w:hint="eastAsia"/>
          <w:b/>
          <w:bCs/>
          <w:sz w:val="28"/>
          <w:szCs w:val="28"/>
        </w:rPr>
        <w:t>Source Emissions</w:t>
      </w:r>
    </w:p>
    <w:p w14:paraId="77DD0C36"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currently operates mobile sources, including company vehicles and forklifts, which use gasoline and diesel as fuel.</w:t>
      </w:r>
    </w:p>
    <w:p w14:paraId="762A753D"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3.2.1.3 Emissions from </w:t>
      </w:r>
      <w:r>
        <w:rPr>
          <w:rFonts w:ascii="Times New Roman" w:hAnsi="Times New Roman" w:cs="Times New Roman" w:hint="eastAsia"/>
          <w:b/>
          <w:bCs/>
          <w:sz w:val="28"/>
          <w:szCs w:val="28"/>
        </w:rPr>
        <w:t>Industrial Processes</w:t>
      </w:r>
    </w:p>
    <w:p w14:paraId="55E0AEA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There are no emissions from industrial production processes.</w:t>
      </w:r>
    </w:p>
    <w:p w14:paraId="2799227F"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3.2.1.4 </w:t>
      </w:r>
      <w:r>
        <w:rPr>
          <w:rFonts w:ascii="Times New Roman" w:hAnsi="Times New Roman" w:cs="Times New Roman" w:hint="eastAsia"/>
          <w:b/>
          <w:bCs/>
          <w:sz w:val="28"/>
          <w:szCs w:val="28"/>
        </w:rPr>
        <w:t xml:space="preserve">Fugitive </w:t>
      </w:r>
      <w:r>
        <w:rPr>
          <w:rFonts w:ascii="Times New Roman" w:hAnsi="Times New Roman" w:cs="Times New Roman"/>
          <w:b/>
          <w:bCs/>
          <w:sz w:val="28"/>
          <w:szCs w:val="28"/>
        </w:rPr>
        <w:t>Emissions</w:t>
      </w:r>
    </w:p>
    <w:p w14:paraId="38CD363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Fugitive emissions within the company’s organizational boundary include emissions from refrigeration equipment (HFCs) </w:t>
      </w:r>
      <w:r>
        <w:rPr>
          <w:rFonts w:ascii="Times New Roman" w:hAnsi="Times New Roman" w:cs="Times New Roman" w:hint="eastAsia"/>
          <w:sz w:val="28"/>
          <w:szCs w:val="28"/>
        </w:rPr>
        <w:t>and methane from septic tanks</w:t>
      </w:r>
      <w:r>
        <w:rPr>
          <w:rFonts w:ascii="Times New Roman" w:hAnsi="Times New Roman" w:cs="Times New Roman"/>
          <w:sz w:val="28"/>
          <w:szCs w:val="28"/>
        </w:rPr>
        <w:t>.</w:t>
      </w:r>
    </w:p>
    <w:p w14:paraId="33A5617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Specific Scope 1 emission sources are shown in Table</w:t>
      </w:r>
      <w:r>
        <w:rPr>
          <w:rFonts w:ascii="Times New Roman" w:hAnsi="Times New Roman" w:cs="Times New Roman" w:hint="eastAsia"/>
          <w:sz w:val="28"/>
          <w:szCs w:val="28"/>
        </w:rPr>
        <w:t xml:space="preserve"> 3-1</w:t>
      </w:r>
      <w:r>
        <w:rPr>
          <w:rFonts w:ascii="Times New Roman" w:hAnsi="Times New Roman" w:cs="Times New Roman"/>
          <w:sz w:val="28"/>
          <w:szCs w:val="28"/>
        </w:rPr>
        <w:t xml:space="preserve"> below:</w:t>
      </w:r>
    </w:p>
    <w:p w14:paraId="6A985C94"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w:t>
      </w:r>
      <w:r>
        <w:rPr>
          <w:rFonts w:ascii="Times New Roman" w:hAnsi="Times New Roman" w:cs="Times New Roman" w:hint="eastAsia"/>
          <w:b/>
          <w:bCs/>
          <w:sz w:val="24"/>
          <w:szCs w:val="24"/>
        </w:rPr>
        <w:t xml:space="preserve"> 3-1 </w:t>
      </w:r>
      <w:r>
        <w:rPr>
          <w:rFonts w:ascii="Times New Roman" w:hAnsi="Times New Roman" w:cs="Times New Roman"/>
          <w:b/>
          <w:bCs/>
          <w:sz w:val="24"/>
          <w:szCs w:val="24"/>
        </w:rPr>
        <w:t>Scope 1 Greenhouse Gas Emission Sources</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987"/>
        <w:gridCol w:w="2840"/>
        <w:gridCol w:w="2106"/>
      </w:tblGrid>
      <w:tr w:rsidR="002E68E2" w14:paraId="281E1B1F" w14:textId="77777777">
        <w:trPr>
          <w:trHeight w:val="397"/>
          <w:tblHeader/>
          <w:jc w:val="center"/>
        </w:trPr>
        <w:tc>
          <w:tcPr>
            <w:tcW w:w="2136" w:type="dxa"/>
            <w:shd w:val="clear" w:color="auto" w:fill="D8D8D8" w:themeFill="background1" w:themeFillShade="D8"/>
            <w:noWrap/>
            <w:vAlign w:val="center"/>
          </w:tcPr>
          <w:p w14:paraId="722497D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1987" w:type="dxa"/>
            <w:shd w:val="clear" w:color="auto" w:fill="D8D8D8" w:themeFill="background1" w:themeFillShade="D8"/>
            <w:noWrap/>
            <w:vAlign w:val="center"/>
          </w:tcPr>
          <w:p w14:paraId="00E31464"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2840" w:type="dxa"/>
            <w:shd w:val="clear" w:color="auto" w:fill="D8D8D8" w:themeFill="background1" w:themeFillShade="D8"/>
            <w:noWrap/>
            <w:vAlign w:val="center"/>
          </w:tcPr>
          <w:p w14:paraId="2291F3C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Facility/Activity</w:t>
            </w:r>
          </w:p>
        </w:tc>
        <w:tc>
          <w:tcPr>
            <w:tcW w:w="2106" w:type="dxa"/>
            <w:shd w:val="clear" w:color="auto" w:fill="D8D8D8" w:themeFill="background1" w:themeFillShade="D8"/>
            <w:noWrap/>
            <w:vAlign w:val="center"/>
          </w:tcPr>
          <w:p w14:paraId="5442F782"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 Source</w:t>
            </w:r>
          </w:p>
        </w:tc>
      </w:tr>
      <w:tr w:rsidR="002E68E2" w14:paraId="0BC74922" w14:textId="77777777">
        <w:trPr>
          <w:trHeight w:val="397"/>
          <w:jc w:val="center"/>
        </w:trPr>
        <w:tc>
          <w:tcPr>
            <w:tcW w:w="2136" w:type="dxa"/>
            <w:vMerge w:val="restart"/>
            <w:noWrap/>
            <w:vAlign w:val="center"/>
          </w:tcPr>
          <w:p w14:paraId="26032AD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Direct Greenhouse Gas Emissions</w:t>
            </w:r>
          </w:p>
        </w:tc>
        <w:tc>
          <w:tcPr>
            <w:tcW w:w="1987" w:type="dxa"/>
            <w:noWrap/>
            <w:vAlign w:val="center"/>
          </w:tcPr>
          <w:p w14:paraId="628E2A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Mobile Emission Sources</w:t>
            </w:r>
          </w:p>
        </w:tc>
        <w:tc>
          <w:tcPr>
            <w:tcW w:w="2840" w:type="dxa"/>
            <w:noWrap/>
            <w:vAlign w:val="center"/>
          </w:tcPr>
          <w:p w14:paraId="02EF3E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Government vehicles, forklifts</w:t>
            </w:r>
          </w:p>
        </w:tc>
        <w:tc>
          <w:tcPr>
            <w:tcW w:w="2106" w:type="dxa"/>
            <w:noWrap/>
            <w:vAlign w:val="center"/>
          </w:tcPr>
          <w:p w14:paraId="2F4882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CO</w:t>
            </w:r>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 N</w:t>
            </w:r>
            <w:r>
              <w:rPr>
                <w:rFonts w:ascii="Times New Roman" w:hAnsi="Times New Roman" w:cs="Times New Roman" w:hint="eastAsia"/>
                <w:sz w:val="24"/>
                <w:szCs w:val="24"/>
              </w:rPr>
              <w:t>₂</w:t>
            </w:r>
            <w:r>
              <w:rPr>
                <w:rFonts w:ascii="Times New Roman" w:hAnsi="Times New Roman" w:cs="Times New Roman" w:hint="eastAsia"/>
                <w:sz w:val="24"/>
                <w:szCs w:val="24"/>
              </w:rPr>
              <w:t xml:space="preserve">O, </w:t>
            </w:r>
            <w:r>
              <w:rPr>
                <w:rFonts w:ascii="Times New Roman" w:hAnsi="Times New Roman" w:cs="Times New Roman"/>
                <w:sz w:val="24"/>
                <w:szCs w:val="24"/>
              </w:rPr>
              <w:t>CH</w:t>
            </w:r>
            <w:r>
              <w:rPr>
                <w:rFonts w:ascii="Times New Roman" w:hAnsi="Times New Roman" w:cs="Times New Roman"/>
                <w:sz w:val="24"/>
                <w:szCs w:val="24"/>
                <w:vertAlign w:val="subscript"/>
              </w:rPr>
              <w:t>₄</w:t>
            </w:r>
          </w:p>
        </w:tc>
      </w:tr>
      <w:tr w:rsidR="002E68E2" w14:paraId="547F437F" w14:textId="77777777">
        <w:trPr>
          <w:trHeight w:val="397"/>
          <w:jc w:val="center"/>
        </w:trPr>
        <w:tc>
          <w:tcPr>
            <w:tcW w:w="2136" w:type="dxa"/>
            <w:vMerge/>
            <w:noWrap/>
            <w:vAlign w:val="center"/>
          </w:tcPr>
          <w:p w14:paraId="774D5924"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1987" w:type="dxa"/>
            <w:vMerge w:val="restart"/>
            <w:noWrap/>
            <w:vAlign w:val="center"/>
          </w:tcPr>
          <w:p w14:paraId="6D61B8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Fugitive Emissions</w:t>
            </w:r>
          </w:p>
        </w:tc>
        <w:tc>
          <w:tcPr>
            <w:tcW w:w="2840" w:type="dxa"/>
            <w:noWrap/>
            <w:vAlign w:val="center"/>
          </w:tcPr>
          <w:p w14:paraId="58E971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w:t>
            </w:r>
          </w:p>
        </w:tc>
        <w:tc>
          <w:tcPr>
            <w:tcW w:w="2106" w:type="dxa"/>
            <w:noWrap/>
            <w:vAlign w:val="center"/>
          </w:tcPr>
          <w:p w14:paraId="0EAB16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r>
      <w:tr w:rsidR="002E68E2" w14:paraId="756DA1E8" w14:textId="77777777">
        <w:trPr>
          <w:trHeight w:val="397"/>
          <w:jc w:val="center"/>
        </w:trPr>
        <w:tc>
          <w:tcPr>
            <w:tcW w:w="2136" w:type="dxa"/>
            <w:vMerge/>
            <w:noWrap/>
            <w:vAlign w:val="center"/>
          </w:tcPr>
          <w:p w14:paraId="314D35FB"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1987" w:type="dxa"/>
            <w:vMerge/>
            <w:noWrap/>
            <w:vAlign w:val="center"/>
          </w:tcPr>
          <w:p w14:paraId="7A1CA5A9"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40" w:type="dxa"/>
            <w:noWrap/>
            <w:vAlign w:val="center"/>
          </w:tcPr>
          <w:p w14:paraId="380C4F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Septic tanks</w:t>
            </w:r>
          </w:p>
        </w:tc>
        <w:tc>
          <w:tcPr>
            <w:tcW w:w="2106" w:type="dxa"/>
            <w:noWrap/>
            <w:vAlign w:val="center"/>
          </w:tcPr>
          <w:p w14:paraId="4B5420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CH</w:t>
            </w:r>
            <w:r>
              <w:rPr>
                <w:rFonts w:ascii="Times New Roman" w:hAnsi="Times New Roman" w:cs="Times New Roman"/>
                <w:sz w:val="24"/>
                <w:szCs w:val="24"/>
                <w:vertAlign w:val="subscript"/>
              </w:rPr>
              <w:t>₄</w:t>
            </w:r>
          </w:p>
        </w:tc>
      </w:tr>
    </w:tbl>
    <w:p w14:paraId="09E94216" w14:textId="77777777" w:rsidR="002E68E2" w:rsidRDefault="00000000">
      <w:pPr>
        <w:pStyle w:val="3"/>
        <w:rPr>
          <w:sz w:val="28"/>
          <w:szCs w:val="28"/>
        </w:rPr>
      </w:pPr>
      <w:bookmarkStart w:id="26" w:name="_Toc28309"/>
      <w:bookmarkStart w:id="27" w:name="_Toc15110"/>
      <w:r>
        <w:rPr>
          <w:sz w:val="28"/>
          <w:szCs w:val="28"/>
        </w:rPr>
        <w:t xml:space="preserve"> 3.2.2 Scope 2 Indirect Emissions</w:t>
      </w:r>
      <w:bookmarkEnd w:id="26"/>
      <w:bookmarkEnd w:id="27"/>
    </w:p>
    <w:p w14:paraId="549902C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Emissions generated by purchased electricity and heat consumed by electrical equipment owned or controlled by the company, or by its operations. </w:t>
      </w:r>
      <w:r>
        <w:rPr>
          <w:rFonts w:ascii="Times New Roman" w:hAnsi="Times New Roman" w:cs="Times New Roman"/>
          <w:sz w:val="28"/>
          <w:szCs w:val="28"/>
        </w:rPr>
        <w:lastRenderedPageBreak/>
        <w:t xml:space="preserve">This </w:t>
      </w:r>
      <w:r>
        <w:rPr>
          <w:rFonts w:ascii="Times New Roman" w:hAnsi="Times New Roman" w:cs="Times New Roman" w:hint="eastAsia"/>
          <w:sz w:val="28"/>
          <w:szCs w:val="28"/>
        </w:rPr>
        <w:t>includes</w:t>
      </w:r>
      <w:r>
        <w:rPr>
          <w:rFonts w:ascii="Times New Roman" w:hAnsi="Times New Roman" w:cs="Times New Roman"/>
          <w:sz w:val="28"/>
          <w:szCs w:val="28"/>
        </w:rPr>
        <w:t xml:space="preserve"> electricity purchased </w:t>
      </w:r>
      <w:r>
        <w:rPr>
          <w:rFonts w:ascii="Times New Roman" w:hAnsi="Times New Roman" w:cs="Times New Roman" w:hint="eastAsia"/>
          <w:sz w:val="28"/>
          <w:szCs w:val="28"/>
        </w:rPr>
        <w:t>from the regional grid</w:t>
      </w:r>
      <w:r>
        <w:rPr>
          <w:rFonts w:ascii="Times New Roman" w:hAnsi="Times New Roman" w:cs="Times New Roman"/>
          <w:sz w:val="28"/>
          <w:szCs w:val="28"/>
        </w:rPr>
        <w:t xml:space="preserve">; </w:t>
      </w:r>
      <w:r>
        <w:rPr>
          <w:rFonts w:ascii="Times New Roman" w:hAnsi="Times New Roman" w:cs="Times New Roman" w:hint="eastAsia"/>
          <w:sz w:val="28"/>
          <w:szCs w:val="28"/>
        </w:rPr>
        <w:t xml:space="preserve">the company does not purchase green electricity certificates, </w:t>
      </w:r>
      <w:r>
        <w:rPr>
          <w:rFonts w:ascii="Times New Roman" w:hAnsi="Times New Roman" w:cs="Times New Roman"/>
          <w:sz w:val="28"/>
          <w:szCs w:val="28"/>
        </w:rPr>
        <w:t>steam, or heating. Specific emission sources are shown in Table 3-2 below:</w:t>
      </w:r>
    </w:p>
    <w:p w14:paraId="0D0BB23C"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3-2 Scope 2 Greenhouse Gas Emission Sources</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987"/>
        <w:gridCol w:w="3440"/>
        <w:gridCol w:w="1506"/>
      </w:tblGrid>
      <w:tr w:rsidR="002E68E2" w14:paraId="12D9F81F" w14:textId="77777777">
        <w:trPr>
          <w:trHeight w:val="397"/>
          <w:jc w:val="center"/>
        </w:trPr>
        <w:tc>
          <w:tcPr>
            <w:tcW w:w="2136" w:type="dxa"/>
            <w:shd w:val="clear" w:color="auto" w:fill="D8D8D8" w:themeFill="background1" w:themeFillShade="D8"/>
            <w:noWrap/>
            <w:vAlign w:val="center"/>
          </w:tcPr>
          <w:p w14:paraId="14C14E8A"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1987" w:type="dxa"/>
            <w:shd w:val="clear" w:color="auto" w:fill="D8D8D8" w:themeFill="background1" w:themeFillShade="D8"/>
            <w:noWrap/>
            <w:vAlign w:val="center"/>
          </w:tcPr>
          <w:p w14:paraId="56EEB41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3440" w:type="dxa"/>
            <w:shd w:val="clear" w:color="auto" w:fill="D8D8D8" w:themeFill="background1" w:themeFillShade="D8"/>
            <w:noWrap/>
            <w:vAlign w:val="center"/>
          </w:tcPr>
          <w:p w14:paraId="1E7F936D"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Facility/Activity</w:t>
            </w:r>
          </w:p>
        </w:tc>
        <w:tc>
          <w:tcPr>
            <w:tcW w:w="1506" w:type="dxa"/>
            <w:shd w:val="clear" w:color="auto" w:fill="D8D8D8" w:themeFill="background1" w:themeFillShade="D8"/>
            <w:noWrap/>
            <w:vAlign w:val="center"/>
          </w:tcPr>
          <w:p w14:paraId="1F47718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 Source</w:t>
            </w:r>
          </w:p>
        </w:tc>
      </w:tr>
      <w:tr w:rsidR="002E68E2" w14:paraId="4545AD09" w14:textId="77777777">
        <w:trPr>
          <w:trHeight w:val="397"/>
          <w:jc w:val="center"/>
        </w:trPr>
        <w:tc>
          <w:tcPr>
            <w:tcW w:w="2136" w:type="dxa"/>
            <w:noWrap/>
            <w:vAlign w:val="center"/>
          </w:tcPr>
          <w:p w14:paraId="4F106EB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Greenhouse Gas Emissions</w:t>
            </w:r>
          </w:p>
        </w:tc>
        <w:tc>
          <w:tcPr>
            <w:tcW w:w="1987" w:type="dxa"/>
            <w:noWrap/>
            <w:vAlign w:val="center"/>
          </w:tcPr>
          <w:p w14:paraId="447437D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3440" w:type="dxa"/>
            <w:noWrap/>
            <w:vAlign w:val="center"/>
          </w:tcPr>
          <w:p w14:paraId="398E6F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Electrical equipment, production, and office operations</w:t>
            </w:r>
          </w:p>
        </w:tc>
        <w:tc>
          <w:tcPr>
            <w:tcW w:w="1506" w:type="dxa"/>
            <w:noWrap/>
            <w:vAlign w:val="center"/>
          </w:tcPr>
          <w:p w14:paraId="284DA1D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r>
    </w:tbl>
    <w:p w14:paraId="1D0C1181" w14:textId="77777777" w:rsidR="002E68E2" w:rsidRDefault="00000000">
      <w:pPr>
        <w:pStyle w:val="3"/>
        <w:rPr>
          <w:sz w:val="28"/>
          <w:szCs w:val="28"/>
        </w:rPr>
      </w:pPr>
      <w:bookmarkStart w:id="28" w:name="_Toc25182"/>
      <w:bookmarkStart w:id="29" w:name="_Toc1480"/>
      <w:r>
        <w:rPr>
          <w:sz w:val="28"/>
          <w:szCs w:val="28"/>
        </w:rPr>
        <w:t xml:space="preserve"> 3.2.3 Scope 3 Other Indirect Emissions</w:t>
      </w:r>
      <w:bookmarkEnd w:id="28"/>
      <w:bookmarkEnd w:id="29"/>
    </w:p>
    <w:p w14:paraId="7308568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Scope 3 of this carbon inventory includes purchased goods and services</w:t>
      </w:r>
      <w:r>
        <w:rPr>
          <w:rFonts w:ascii="Times New Roman" w:hAnsi="Times New Roman" w:cs="Times New Roman" w:hint="eastAsia"/>
          <w:sz w:val="28"/>
          <w:szCs w:val="28"/>
        </w:rPr>
        <w:t xml:space="preserve">, </w:t>
      </w:r>
      <w:r>
        <w:rPr>
          <w:rFonts w:ascii="Times New Roman" w:hAnsi="Times New Roman" w:cs="Times New Roman"/>
          <w:sz w:val="28"/>
          <w:szCs w:val="28"/>
        </w:rPr>
        <w:t>capital goods</w:t>
      </w:r>
      <w:r>
        <w:rPr>
          <w:rFonts w:ascii="Times New Roman" w:hAnsi="Times New Roman" w:cs="Times New Roman" w:hint="eastAsia"/>
          <w:sz w:val="28"/>
          <w:szCs w:val="28"/>
        </w:rPr>
        <w:t xml:space="preserve">, </w:t>
      </w:r>
      <w:r>
        <w:rPr>
          <w:rFonts w:ascii="Times New Roman" w:hAnsi="Times New Roman" w:cs="Times New Roman"/>
          <w:sz w:val="28"/>
          <w:szCs w:val="28"/>
        </w:rPr>
        <w:t>fuel and energy-related activities</w:t>
      </w:r>
      <w:r>
        <w:rPr>
          <w:rFonts w:ascii="Times New Roman" w:hAnsi="Times New Roman" w:cs="Times New Roman" w:hint="eastAsia"/>
          <w:sz w:val="28"/>
          <w:szCs w:val="28"/>
        </w:rPr>
        <w:t xml:space="preserve">, </w:t>
      </w:r>
      <w:r>
        <w:rPr>
          <w:rFonts w:ascii="Times New Roman" w:hAnsi="Times New Roman" w:cs="Times New Roman"/>
          <w:sz w:val="28"/>
          <w:szCs w:val="28"/>
        </w:rPr>
        <w:t>upstream transportation and distribution</w:t>
      </w:r>
      <w:r>
        <w:rPr>
          <w:rFonts w:ascii="Times New Roman" w:hAnsi="Times New Roman" w:cs="Times New Roman" w:hint="eastAsia"/>
          <w:sz w:val="28"/>
          <w:szCs w:val="28"/>
        </w:rPr>
        <w:t xml:space="preserve">, </w:t>
      </w:r>
      <w:r>
        <w:rPr>
          <w:rFonts w:ascii="Times New Roman" w:hAnsi="Times New Roman" w:cs="Times New Roman"/>
          <w:sz w:val="28"/>
          <w:szCs w:val="28"/>
        </w:rPr>
        <w:t>operational waste</w:t>
      </w:r>
      <w:r>
        <w:rPr>
          <w:rFonts w:ascii="Times New Roman" w:hAnsi="Times New Roman" w:cs="Times New Roman" w:hint="eastAsia"/>
          <w:sz w:val="28"/>
          <w:szCs w:val="28"/>
        </w:rPr>
        <w:t xml:space="preserve">, </w:t>
      </w:r>
      <w:r>
        <w:rPr>
          <w:rFonts w:ascii="Times New Roman" w:hAnsi="Times New Roman" w:cs="Times New Roman"/>
          <w:sz w:val="28"/>
          <w:szCs w:val="28"/>
        </w:rPr>
        <w:t>business travel</w:t>
      </w:r>
      <w:r>
        <w:rPr>
          <w:rFonts w:ascii="Times New Roman" w:hAnsi="Times New Roman" w:cs="Times New Roman" w:hint="eastAsia"/>
          <w:sz w:val="28"/>
          <w:szCs w:val="28"/>
        </w:rPr>
        <w:t xml:space="preserve">, </w:t>
      </w:r>
      <w:r>
        <w:rPr>
          <w:rFonts w:ascii="Times New Roman" w:hAnsi="Times New Roman" w:cs="Times New Roman"/>
          <w:sz w:val="28"/>
          <w:szCs w:val="28"/>
        </w:rPr>
        <w:t>employee commuting</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downstream transportation and </w:t>
      </w:r>
      <w:r>
        <w:rPr>
          <w:rFonts w:ascii="Times New Roman" w:hAnsi="Times New Roman" w:cs="Times New Roman" w:hint="eastAsia"/>
          <w:sz w:val="28"/>
          <w:szCs w:val="28"/>
        </w:rPr>
        <w:t>distribution</w:t>
      </w:r>
      <w:r>
        <w:rPr>
          <w:rFonts w:ascii="Times New Roman" w:hAnsi="Times New Roman" w:cs="Times New Roman"/>
          <w:sz w:val="28"/>
          <w:szCs w:val="28"/>
        </w:rPr>
        <w:t>,</w:t>
      </w:r>
      <w:r>
        <w:rPr>
          <w:rFonts w:ascii="Times New Roman" w:hAnsi="Times New Roman" w:cs="Times New Roman" w:hint="eastAsia"/>
          <w:sz w:val="28"/>
          <w:szCs w:val="28"/>
        </w:rPr>
        <w:t xml:space="preserve"> and the end-of-life management of sold products</w:t>
      </w:r>
      <w:r>
        <w:rPr>
          <w:rFonts w:ascii="Times New Roman" w:hAnsi="Times New Roman" w:cs="Times New Roman"/>
          <w:sz w:val="28"/>
          <w:szCs w:val="28"/>
        </w:rPr>
        <w:t>.</w:t>
      </w:r>
    </w:p>
    <w:p w14:paraId="21EC82F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specific emission activities for each Scope 3 category are shown in Table 3-3 below:</w:t>
      </w:r>
    </w:p>
    <w:p w14:paraId="0969E6D3"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3-3 Scope 3 Greenhouse Gas Emission Activities</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542"/>
        <w:gridCol w:w="5575"/>
      </w:tblGrid>
      <w:tr w:rsidR="002E68E2" w14:paraId="20B3498A" w14:textId="77777777">
        <w:trPr>
          <w:trHeight w:val="397"/>
          <w:tblHeader/>
          <w:jc w:val="center"/>
        </w:trPr>
        <w:tc>
          <w:tcPr>
            <w:tcW w:w="1323" w:type="dxa"/>
            <w:shd w:val="clear" w:color="auto" w:fill="D8D8D8" w:themeFill="background1" w:themeFillShade="D8"/>
            <w:noWrap/>
            <w:vAlign w:val="center"/>
          </w:tcPr>
          <w:p w14:paraId="3EC8E7F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2542" w:type="dxa"/>
            <w:shd w:val="clear" w:color="auto" w:fill="D8D8D8" w:themeFill="background1" w:themeFillShade="D8"/>
            <w:noWrap/>
            <w:vAlign w:val="center"/>
          </w:tcPr>
          <w:p w14:paraId="3C78F615"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5575" w:type="dxa"/>
            <w:shd w:val="clear" w:color="auto" w:fill="D8D8D8" w:themeFill="background1" w:themeFillShade="D8"/>
            <w:noWrap/>
            <w:vAlign w:val="center"/>
          </w:tcPr>
          <w:p w14:paraId="0785524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Description</w:t>
            </w:r>
          </w:p>
        </w:tc>
      </w:tr>
      <w:tr w:rsidR="002E68E2" w14:paraId="2082AC31" w14:textId="77777777">
        <w:trPr>
          <w:trHeight w:val="397"/>
          <w:jc w:val="center"/>
        </w:trPr>
        <w:tc>
          <w:tcPr>
            <w:tcW w:w="1323" w:type="dxa"/>
            <w:vMerge w:val="restart"/>
            <w:noWrap/>
            <w:vAlign w:val="center"/>
          </w:tcPr>
          <w:p w14:paraId="1918E66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Other Indirect Greenhouse Gas Emissions</w:t>
            </w:r>
          </w:p>
        </w:tc>
        <w:tc>
          <w:tcPr>
            <w:tcW w:w="2542" w:type="dxa"/>
            <w:noWrap/>
            <w:vAlign w:val="center"/>
          </w:tcPr>
          <w:p w14:paraId="6B4B20B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 Purchased Goods and Services</w:t>
            </w:r>
          </w:p>
        </w:tc>
        <w:tc>
          <w:tcPr>
            <w:tcW w:w="5575" w:type="dxa"/>
            <w:noWrap/>
            <w:vAlign w:val="center"/>
          </w:tcPr>
          <w:p w14:paraId="3C338BB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extraction, production, and transportation of goods and services purchased in fiscal year 2025. (Portions not included in Categories 2 through 8)</w:t>
            </w:r>
          </w:p>
        </w:tc>
      </w:tr>
      <w:tr w:rsidR="002E68E2" w14:paraId="0E37E42D" w14:textId="77777777">
        <w:trPr>
          <w:trHeight w:val="397"/>
          <w:jc w:val="center"/>
        </w:trPr>
        <w:tc>
          <w:tcPr>
            <w:tcW w:w="1323" w:type="dxa"/>
            <w:vMerge/>
            <w:noWrap/>
            <w:vAlign w:val="center"/>
          </w:tcPr>
          <w:p w14:paraId="501491B1"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40260E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 Capital Goods</w:t>
            </w:r>
          </w:p>
        </w:tc>
        <w:tc>
          <w:tcPr>
            <w:tcW w:w="5575" w:type="dxa"/>
            <w:noWrap/>
            <w:vAlign w:val="center"/>
          </w:tcPr>
          <w:p w14:paraId="0F06AD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extraction, production, and transportation of capital goods purchased or acquired in fiscal year</w:t>
            </w:r>
            <w:r>
              <w:rPr>
                <w:rFonts w:ascii="Times New Roman" w:hAnsi="Times New Roman" w:cs="Times New Roman" w:hint="eastAsia"/>
                <w:sz w:val="24"/>
                <w:szCs w:val="24"/>
              </w:rPr>
              <w:t xml:space="preserve"> 2025</w:t>
            </w:r>
          </w:p>
        </w:tc>
      </w:tr>
      <w:tr w:rsidR="002E68E2" w14:paraId="0561138C" w14:textId="77777777">
        <w:trPr>
          <w:trHeight w:val="397"/>
          <w:jc w:val="center"/>
        </w:trPr>
        <w:tc>
          <w:tcPr>
            <w:tcW w:w="1323" w:type="dxa"/>
            <w:vMerge/>
            <w:noWrap/>
            <w:vAlign w:val="center"/>
          </w:tcPr>
          <w:p w14:paraId="113940F5"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5C7DA9B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 Fuel and Energy-Related Activities</w:t>
            </w:r>
          </w:p>
        </w:tc>
        <w:tc>
          <w:tcPr>
            <w:tcW w:w="5575" w:type="dxa"/>
            <w:noWrap/>
            <w:vAlign w:val="center"/>
          </w:tcPr>
          <w:p w14:paraId="5BE543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extraction, production, and transportation of fuels and energy purchased or acquired in 2025 (excluding portions covered under Scope 1 and Scope 2), including: upstream emissions from purchased fuels, upstream emissions from purchased electricity and heat, and transmission and distribution (T&amp;D) losses.</w:t>
            </w:r>
          </w:p>
        </w:tc>
      </w:tr>
      <w:tr w:rsidR="002E68E2" w14:paraId="15B6FC96" w14:textId="77777777">
        <w:trPr>
          <w:trHeight w:val="397"/>
          <w:jc w:val="center"/>
        </w:trPr>
        <w:tc>
          <w:tcPr>
            <w:tcW w:w="1323" w:type="dxa"/>
            <w:vMerge/>
            <w:noWrap/>
            <w:vAlign w:val="center"/>
          </w:tcPr>
          <w:p w14:paraId="783785F9"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051B906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 Upstream Transportation and Distribution</w:t>
            </w:r>
          </w:p>
        </w:tc>
        <w:tc>
          <w:tcPr>
            <w:tcW w:w="5575" w:type="dxa"/>
            <w:noWrap/>
            <w:vAlign w:val="center"/>
          </w:tcPr>
          <w:p w14:paraId="0D807F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transportation and distribution of products purchased in 2025 between primary suppliers </w:t>
            </w:r>
            <w:r>
              <w:rPr>
                <w:rFonts w:ascii="Times New Roman" w:hAnsi="Times New Roman" w:cs="Times New Roman" w:hint="eastAsia"/>
                <w:sz w:val="24"/>
                <w:szCs w:val="24"/>
              </w:rPr>
              <w:t xml:space="preserve">and the facility </w:t>
            </w:r>
            <w:r>
              <w:rPr>
                <w:rFonts w:ascii="Times New Roman" w:hAnsi="Times New Roman" w:cs="Times New Roman"/>
                <w:sz w:val="24"/>
                <w:szCs w:val="24"/>
              </w:rPr>
              <w:t>(using vehicles and facilities not owned or controlled by the reporting entity).</w:t>
            </w:r>
          </w:p>
        </w:tc>
      </w:tr>
      <w:tr w:rsidR="002E68E2" w14:paraId="7B6DC121" w14:textId="77777777">
        <w:trPr>
          <w:trHeight w:val="397"/>
          <w:jc w:val="center"/>
        </w:trPr>
        <w:tc>
          <w:tcPr>
            <w:tcW w:w="1323" w:type="dxa"/>
            <w:vMerge/>
            <w:noWrap/>
            <w:vAlign w:val="center"/>
          </w:tcPr>
          <w:p w14:paraId="2804C728"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5A591A0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 Waste Generated from Operations</w:t>
            </w:r>
          </w:p>
        </w:tc>
        <w:tc>
          <w:tcPr>
            <w:tcW w:w="5575" w:type="dxa"/>
            <w:noWrap/>
            <w:vAlign w:val="center"/>
          </w:tcPr>
          <w:p w14:paraId="2747755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Treatment/disposal of waste generated from operations in 2025 (facilities not owned or controlled by the reporting entity)</w:t>
            </w:r>
          </w:p>
        </w:tc>
      </w:tr>
      <w:tr w:rsidR="002E68E2" w14:paraId="54C4431B" w14:textId="77777777">
        <w:trPr>
          <w:trHeight w:val="397"/>
          <w:jc w:val="center"/>
        </w:trPr>
        <w:tc>
          <w:tcPr>
            <w:tcW w:w="1323" w:type="dxa"/>
            <w:vMerge/>
            <w:noWrap/>
            <w:vAlign w:val="center"/>
          </w:tcPr>
          <w:p w14:paraId="3C96FB1C"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072C3F3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 Business Travel</w:t>
            </w:r>
          </w:p>
        </w:tc>
        <w:tc>
          <w:tcPr>
            <w:tcW w:w="5575" w:type="dxa"/>
            <w:noWrap/>
            <w:vAlign w:val="center"/>
          </w:tcPr>
          <w:p w14:paraId="4781AC8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Transportation related to business activities by company employees in 2025. (Using vehicles not owned or operated by the reporting company)</w:t>
            </w:r>
          </w:p>
        </w:tc>
      </w:tr>
      <w:tr w:rsidR="002E68E2" w14:paraId="48304430" w14:textId="77777777">
        <w:trPr>
          <w:trHeight w:val="397"/>
          <w:jc w:val="center"/>
        </w:trPr>
        <w:tc>
          <w:tcPr>
            <w:tcW w:w="1323" w:type="dxa"/>
            <w:vMerge/>
            <w:noWrap/>
            <w:vAlign w:val="center"/>
          </w:tcPr>
          <w:p w14:paraId="084F4604"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643DCD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 Employee Commuting</w:t>
            </w:r>
          </w:p>
        </w:tc>
        <w:tc>
          <w:tcPr>
            <w:tcW w:w="5575" w:type="dxa"/>
            <w:noWrap/>
            <w:vAlign w:val="center"/>
          </w:tcPr>
          <w:p w14:paraId="320D6D8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Transportation of company employees between their residences and workplaces in 2025 (using vehicles not owned or operated by the reporting company)</w:t>
            </w:r>
          </w:p>
        </w:tc>
      </w:tr>
      <w:tr w:rsidR="002E68E2" w14:paraId="0BD1B05C" w14:textId="77777777">
        <w:trPr>
          <w:trHeight w:val="397"/>
          <w:jc w:val="center"/>
        </w:trPr>
        <w:tc>
          <w:tcPr>
            <w:tcW w:w="1323" w:type="dxa"/>
            <w:vMerge/>
            <w:noWrap/>
            <w:vAlign w:val="center"/>
          </w:tcPr>
          <w:p w14:paraId="7EB4C558"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7803ADF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 Downstream Transportation and Distribution</w:t>
            </w:r>
          </w:p>
        </w:tc>
        <w:tc>
          <w:tcPr>
            <w:tcW w:w="5575" w:type="dxa"/>
            <w:noWrap/>
            <w:vAlign w:val="center"/>
          </w:tcPr>
          <w:p w14:paraId="4036A7D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Transportation and distribution of products sold by the company between factories and various markets in 2025 (when paid for by the non-reporting entity), including retail and storage. (Using vehicles and facilities not owned or controlled by the non-reporting entity)</w:t>
            </w:r>
          </w:p>
        </w:tc>
      </w:tr>
      <w:tr w:rsidR="002E68E2" w14:paraId="17479848" w14:textId="77777777">
        <w:trPr>
          <w:trHeight w:val="397"/>
          <w:jc w:val="center"/>
        </w:trPr>
        <w:tc>
          <w:tcPr>
            <w:tcW w:w="1323" w:type="dxa"/>
            <w:vMerge/>
            <w:noWrap/>
            <w:vAlign w:val="center"/>
          </w:tcPr>
          <w:p w14:paraId="06677751" w14:textId="77777777" w:rsidR="002E68E2" w:rsidRDefault="002E68E2">
            <w:pPr>
              <w:adjustRightInd w:val="0"/>
              <w:snapToGrid w:val="0"/>
              <w:spacing w:after="0" w:line="240" w:lineRule="auto"/>
              <w:jc w:val="center"/>
              <w:rPr>
                <w:rFonts w:ascii="Times New Roman" w:hAnsi="Times New Roman" w:cs="Times New Roman"/>
                <w:sz w:val="24"/>
                <w:szCs w:val="24"/>
              </w:rPr>
            </w:pPr>
            <w:bookmarkStart w:id="30" w:name="_Toc9326"/>
          </w:p>
        </w:tc>
        <w:tc>
          <w:tcPr>
            <w:tcW w:w="2542" w:type="dxa"/>
            <w:noWrap/>
            <w:vAlign w:val="center"/>
          </w:tcPr>
          <w:p w14:paraId="4A591340" w14:textId="7B6A5143" w:rsidR="009F24D0" w:rsidRPr="009F24D0" w:rsidRDefault="00000000" w:rsidP="009F24D0">
            <w:pPr>
              <w:adjustRightInd w:val="0"/>
              <w:snapToGrid w:val="0"/>
              <w:spacing w:after="0" w:line="240" w:lineRule="auto"/>
              <w:jc w:val="center"/>
              <w:rPr>
                <w:rFonts w:ascii="Times New Roman" w:hAnsi="Times New Roman" w:cs="Times New Roman" w:hint="eastAsia"/>
                <w:sz w:val="24"/>
                <w:szCs w:val="24"/>
              </w:rPr>
            </w:pPr>
            <w:r>
              <w:rPr>
                <w:rFonts w:ascii="Times New Roman" w:hAnsi="Times New Roman" w:cs="Times New Roman" w:hint="eastAsia"/>
                <w:sz w:val="24"/>
                <w:szCs w:val="24"/>
              </w:rPr>
              <w:t xml:space="preserve"> 12. </w:t>
            </w:r>
            <w:r w:rsidR="009F24D0" w:rsidRPr="009F24D0">
              <w:rPr>
                <w:rFonts w:ascii="Times New Roman" w:hAnsi="Times New Roman" w:cs="Times New Roman"/>
                <w:sz w:val="24"/>
                <w:szCs w:val="24"/>
              </w:rPr>
              <w:t>End-of-life treatment of sold products</w:t>
            </w:r>
          </w:p>
        </w:tc>
        <w:tc>
          <w:tcPr>
            <w:tcW w:w="5575" w:type="dxa"/>
            <w:noWrap/>
            <w:vAlign w:val="center"/>
          </w:tcPr>
          <w:p w14:paraId="56445A4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from the disposal of products sold by the company at the end of their useful life in 2025</w:t>
            </w:r>
          </w:p>
        </w:tc>
      </w:tr>
    </w:tbl>
    <w:p w14:paraId="30A9B0C3" w14:textId="77777777" w:rsidR="002E68E2" w:rsidRDefault="00000000">
      <w:pPr>
        <w:pStyle w:val="20"/>
        <w:rPr>
          <w:sz w:val="28"/>
          <w:szCs w:val="28"/>
        </w:rPr>
      </w:pPr>
      <w:bookmarkStart w:id="31" w:name="_Toc15203"/>
      <w:r>
        <w:rPr>
          <w:sz w:val="28"/>
          <w:szCs w:val="28"/>
        </w:rPr>
        <w:t xml:space="preserve"> 3.3 Exclusions</w:t>
      </w:r>
      <w:bookmarkEnd w:id="30"/>
      <w:bookmarkEnd w:id="31"/>
    </w:p>
    <w:p w14:paraId="78EF01E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During </w:t>
      </w:r>
      <w:r>
        <w:rPr>
          <w:rFonts w:ascii="Times New Roman" w:hAnsi="Times New Roman" w:cs="Times New Roman"/>
          <w:sz w:val="28"/>
          <w:szCs w:val="28"/>
        </w:rPr>
        <w:t>the quantification of greenhouse gas emissions, certain emission sources or activities are exempt from quantification or reporting under specific conditions. Such exemptions are based on technical limitations, cost-effectiveness, data availability, or industry-specific characteristics.</w:t>
      </w:r>
    </w:p>
    <w:p w14:paraId="0429E02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During the reporting period, Scope 3 emissions from</w:t>
      </w:r>
      <w:r>
        <w:rPr>
          <w:rFonts w:ascii="Times New Roman" w:hAnsi="Times New Roman" w:cs="Times New Roman" w:hint="eastAsia"/>
          <w:sz w:val="28"/>
          <w:szCs w:val="28"/>
        </w:rPr>
        <w:t xml:space="preserve"> categories</w:t>
      </w:r>
      <w:r>
        <w:rPr>
          <w:rFonts w:ascii="Times New Roman" w:hAnsi="Times New Roman" w:cs="Times New Roman"/>
          <w:sz w:val="28"/>
          <w:szCs w:val="28"/>
        </w:rPr>
        <w:t xml:space="preserve"> 8, 10, 11</w:t>
      </w:r>
      <w:r>
        <w:rPr>
          <w:rFonts w:ascii="Times New Roman" w:hAnsi="Times New Roman" w:cs="Times New Roman" w:hint="eastAsia"/>
          <w:sz w:val="28"/>
          <w:szCs w:val="28"/>
        </w:rPr>
        <w:t xml:space="preserve">, 13, 14, and 15 </w:t>
      </w:r>
      <w:r>
        <w:rPr>
          <w:rFonts w:ascii="Times New Roman" w:hAnsi="Times New Roman" w:cs="Times New Roman"/>
          <w:sz w:val="28"/>
          <w:szCs w:val="28"/>
        </w:rPr>
        <w:t>were not accounted for because the company had no related business activities in 2025; therefore, they were excluded</w:t>
      </w:r>
      <w:r>
        <w:rPr>
          <w:rFonts w:ascii="Times New Roman" w:hAnsi="Times New Roman" w:cs="Times New Roman" w:hint="eastAsia"/>
          <w:sz w:val="28"/>
          <w:szCs w:val="28"/>
        </w:rPr>
        <w:t>.</w:t>
      </w:r>
      <w:r>
        <w:rPr>
          <w:rFonts w:ascii="Times New Roman" w:hAnsi="Times New Roman" w:cs="Times New Roman"/>
          <w:sz w:val="28"/>
          <w:szCs w:val="28"/>
        </w:rPr>
        <w:t xml:space="preserve"> There were no other exemptions for emission sources</w:t>
      </w:r>
      <w:r>
        <w:rPr>
          <w:rFonts w:ascii="Times New Roman" w:hAnsi="Times New Roman" w:cs="Times New Roman" w:hint="eastAsia"/>
          <w:sz w:val="28"/>
          <w:szCs w:val="28"/>
        </w:rPr>
        <w:t>.</w:t>
      </w:r>
      <w:r>
        <w:rPr>
          <w:rFonts w:ascii="Times New Roman" w:hAnsi="Times New Roman" w:cs="Times New Roman"/>
          <w:sz w:val="28"/>
          <w:szCs w:val="28"/>
        </w:rPr>
        <w:br w:type="page"/>
      </w:r>
    </w:p>
    <w:p w14:paraId="5589FA95" w14:textId="77777777" w:rsidR="002E68E2" w:rsidRDefault="00000000">
      <w:pPr>
        <w:pStyle w:val="1"/>
        <w:rPr>
          <w:sz w:val="32"/>
          <w:szCs w:val="32"/>
        </w:rPr>
      </w:pPr>
      <w:r>
        <w:rPr>
          <w:sz w:val="32"/>
          <w:szCs w:val="32"/>
        </w:rPr>
        <w:lastRenderedPageBreak/>
        <w:t xml:space="preserve"> </w:t>
      </w:r>
      <w:bookmarkStart w:id="32" w:name="_Toc1574"/>
      <w:bookmarkStart w:id="33" w:name="_Toc2220"/>
      <w:r>
        <w:rPr>
          <w:sz w:val="32"/>
          <w:szCs w:val="32"/>
        </w:rPr>
        <w:t>4. Greenhouse Gas Emissions</w:t>
      </w:r>
      <w:bookmarkEnd w:id="32"/>
      <w:bookmarkEnd w:id="33"/>
    </w:p>
    <w:p w14:paraId="295F16F9" w14:textId="77777777" w:rsidR="002E68E2" w:rsidRDefault="00000000">
      <w:pPr>
        <w:pStyle w:val="20"/>
        <w:rPr>
          <w:sz w:val="28"/>
          <w:szCs w:val="28"/>
        </w:rPr>
      </w:pPr>
      <w:r>
        <w:rPr>
          <w:sz w:val="28"/>
          <w:szCs w:val="28"/>
        </w:rPr>
        <w:t xml:space="preserve"> </w:t>
      </w:r>
      <w:bookmarkStart w:id="34" w:name="_Toc2972"/>
      <w:bookmarkStart w:id="35" w:name="_Toc9362"/>
      <w:r>
        <w:rPr>
          <w:sz w:val="28"/>
          <w:szCs w:val="28"/>
        </w:rPr>
        <w:t>4.1 Base Year Setting</w:t>
      </w:r>
      <w:bookmarkEnd w:id="34"/>
      <w:bookmarkEnd w:id="35"/>
    </w:p>
    <w:p w14:paraId="40011710" w14:textId="77777777" w:rsidR="002E68E2" w:rsidRDefault="00000000">
      <w:pPr>
        <w:pStyle w:val="3"/>
        <w:rPr>
          <w:sz w:val="28"/>
          <w:szCs w:val="28"/>
        </w:rPr>
      </w:pPr>
      <w:r>
        <w:rPr>
          <w:sz w:val="28"/>
          <w:szCs w:val="28"/>
        </w:rPr>
        <w:t xml:space="preserve"> </w:t>
      </w:r>
      <w:bookmarkStart w:id="36" w:name="_Toc7029"/>
      <w:bookmarkStart w:id="37" w:name="_Toc21611"/>
      <w:r>
        <w:rPr>
          <w:sz w:val="28"/>
          <w:szCs w:val="28"/>
        </w:rPr>
        <w:t>4.1.1 Setting the Base Year</w:t>
      </w:r>
      <w:bookmarkEnd w:id="36"/>
      <w:bookmarkEnd w:id="37"/>
    </w:p>
    <w:p w14:paraId="04DE9B0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has not yet formally established a base year for greenhouse gas emissions. The 2025 carbon inventory represents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systematic, full-scope greenhouse gas accounting effort and marks the initial stage of establishing the Company</w:t>
      </w:r>
      <w:r>
        <w:rPr>
          <w:rFonts w:ascii="Times New Roman" w:hAnsi="Times New Roman" w:cs="Times New Roman" w:hint="eastAsia"/>
          <w:sz w:val="28"/>
          <w:szCs w:val="28"/>
        </w:rPr>
        <w:t>’</w:t>
      </w:r>
      <w:r>
        <w:rPr>
          <w:rFonts w:ascii="Times New Roman" w:hAnsi="Times New Roman" w:cs="Times New Roman" w:hint="eastAsia"/>
          <w:sz w:val="28"/>
          <w:szCs w:val="28"/>
        </w:rPr>
        <w:t>s carbon emissions data system. As continuous and complete annual carbon emissions accounting data has not yet been established, the core requirements for data continuity, completeness, and traceability necessary for setting a base year have not been met. Therefore, a base year was not established for this fiscal year.The 2025 carbon emission data will be retained as foundational data for the Company</w:t>
      </w:r>
      <w:r>
        <w:rPr>
          <w:rFonts w:ascii="Times New Roman" w:hAnsi="Times New Roman" w:cs="Times New Roman" w:hint="eastAsia"/>
          <w:sz w:val="28"/>
          <w:szCs w:val="28"/>
        </w:rPr>
        <w:t>’</w:t>
      </w:r>
      <w:r>
        <w:rPr>
          <w:rFonts w:ascii="Times New Roman" w:hAnsi="Times New Roman" w:cs="Times New Roman" w:hint="eastAsia"/>
          <w:sz w:val="28"/>
          <w:szCs w:val="28"/>
        </w:rPr>
        <w:t>s carbon accounting and will serve as the primary basis for establishing a baseline year in the future.</w:t>
      </w:r>
    </w:p>
    <w:p w14:paraId="6AEE29B1" w14:textId="77777777" w:rsidR="002E68E2" w:rsidRDefault="00000000">
      <w:pPr>
        <w:pStyle w:val="3"/>
        <w:rPr>
          <w:sz w:val="28"/>
          <w:szCs w:val="28"/>
        </w:rPr>
      </w:pPr>
      <w:r>
        <w:rPr>
          <w:sz w:val="28"/>
          <w:szCs w:val="28"/>
        </w:rPr>
        <w:t xml:space="preserve"> </w:t>
      </w:r>
      <w:bookmarkStart w:id="38" w:name="_Toc3869"/>
      <w:bookmarkStart w:id="39" w:name="_Toc10684"/>
      <w:bookmarkStart w:id="40" w:name="_Hlk152784371"/>
      <w:r>
        <w:rPr>
          <w:sz w:val="28"/>
          <w:szCs w:val="28"/>
        </w:rPr>
        <w:t>4.1.2 Change in Base Year</w:t>
      </w:r>
      <w:bookmarkEnd w:id="38"/>
      <w:bookmarkEnd w:id="39"/>
    </w:p>
    <w:bookmarkEnd w:id="40"/>
    <w:p w14:paraId="4DC2567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w:t>
      </w:r>
      <w:bookmarkStart w:id="41" w:name="_Toc28162"/>
      <w:r>
        <w:rPr>
          <w:rFonts w:ascii="Times New Roman" w:hAnsi="Times New Roman" w:cs="Times New Roman" w:hint="eastAsia"/>
          <w:sz w:val="28"/>
          <w:szCs w:val="28"/>
        </w:rPr>
        <w:t>Once the base year is established, we will strictly adhere to the requirements of the "Greenhouse Gas Accounting System: Standards for Corporate Accounting and Reporting" to conduct regular reviews of the base year data. Should the company experience adjustments to its organizational boundaries, significant changes in production processes, or updates to accounting method standards in the future, we will promptly adjust and re-calculate the base year data and issue a statement explaining the base year change to ensure the comparability and continuity of carbon emission data.</w:t>
      </w:r>
    </w:p>
    <w:p w14:paraId="337B4A07" w14:textId="77777777" w:rsidR="002E68E2" w:rsidRDefault="00000000">
      <w:pPr>
        <w:pStyle w:val="20"/>
        <w:rPr>
          <w:sz w:val="28"/>
          <w:szCs w:val="28"/>
        </w:rPr>
      </w:pPr>
      <w:r>
        <w:rPr>
          <w:sz w:val="28"/>
          <w:szCs w:val="28"/>
        </w:rPr>
        <w:t xml:space="preserve"> </w:t>
      </w:r>
      <w:bookmarkStart w:id="42" w:name="_Toc32154"/>
      <w:r>
        <w:rPr>
          <w:sz w:val="28"/>
          <w:szCs w:val="28"/>
        </w:rPr>
        <w:t>4.2 Types of Greenhouse Gases</w:t>
      </w:r>
      <w:bookmarkEnd w:id="41"/>
      <w:bookmarkEnd w:id="42"/>
    </w:p>
    <w:p w14:paraId="1BD3B6A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In accordance with the definitions of greenhouse gases set forth in the Kyoto Protocol, the Greenhouse Gas Protocol’s “Enterprise Accounting and Reporting Standard,” and the “Enterprise Value Chain (Scope 3) Accounting and Reporting Standard,” and taking into comprehensive consideration the company’s activities, products, and services, the scope of this greenhouse gas inventory includes seven gases: CO</w:t>
      </w:r>
      <w:r>
        <w:rPr>
          <w:rFonts w:ascii="Times New Roman" w:hAnsi="Times New Roman" w:cs="Times New Roman"/>
          <w:sz w:val="28"/>
          <w:szCs w:val="28"/>
          <w:vertAlign w:val="subscript"/>
        </w:rPr>
        <w:t>2</w:t>
      </w:r>
      <w:r>
        <w:rPr>
          <w:rFonts w:ascii="Times New Roman" w:hAnsi="Times New Roman" w:cs="Times New Roman"/>
          <w:sz w:val="28"/>
          <w:szCs w:val="28"/>
        </w:rPr>
        <w:t>, CH</w:t>
      </w:r>
      <w:r>
        <w:rPr>
          <w:rFonts w:ascii="Times New Roman" w:hAnsi="Times New Roman" w:cs="Times New Roman"/>
          <w:sz w:val="28"/>
          <w:szCs w:val="28"/>
          <w:vertAlign w:val="subscript"/>
        </w:rPr>
        <w:t>₄</w:t>
      </w:r>
      <w:r>
        <w:rPr>
          <w:rFonts w:ascii="Times New Roman" w:hAnsi="Times New Roman" w:cs="Times New Roman"/>
          <w:sz w:val="28"/>
          <w:szCs w:val="28"/>
        </w:rPr>
        <w:t xml:space="preserve">, N₂O, HFCs, PFCs, </w:t>
      </w:r>
      <w:r>
        <w:rPr>
          <w:rFonts w:ascii="Times New Roman" w:hAnsi="Times New Roman" w:cs="Times New Roman"/>
          <w:sz w:val="28"/>
          <w:szCs w:val="28"/>
          <w:vertAlign w:val="subscript"/>
        </w:rPr>
        <w:t>SF₆</w:t>
      </w:r>
      <w:r>
        <w:rPr>
          <w:rFonts w:ascii="Times New Roman" w:hAnsi="Times New Roman" w:cs="Times New Roman"/>
          <w:sz w:val="28"/>
          <w:szCs w:val="28"/>
        </w:rPr>
        <w:t xml:space="preserve">,and </w:t>
      </w:r>
      <w:r>
        <w:rPr>
          <w:rFonts w:ascii="Times New Roman" w:hAnsi="Times New Roman" w:cs="Times New Roman"/>
          <w:sz w:val="28"/>
          <w:szCs w:val="28"/>
          <w:vertAlign w:val="subscript"/>
        </w:rPr>
        <w:t>NF₃</w:t>
      </w:r>
      <w:r>
        <w:rPr>
          <w:rFonts w:ascii="Times New Roman" w:hAnsi="Times New Roman" w:cs="Times New Roman"/>
          <w:sz w:val="28"/>
          <w:szCs w:val="28"/>
        </w:rPr>
        <w:t>.</w:t>
      </w:r>
    </w:p>
    <w:p w14:paraId="2411E7ED" w14:textId="77777777" w:rsidR="002E68E2" w:rsidRDefault="00000000">
      <w:pPr>
        <w:pStyle w:val="20"/>
        <w:rPr>
          <w:sz w:val="28"/>
          <w:szCs w:val="28"/>
        </w:rPr>
      </w:pPr>
      <w:bookmarkStart w:id="43" w:name="_Toc31894"/>
      <w:bookmarkStart w:id="44" w:name="_Toc15373"/>
      <w:r>
        <w:rPr>
          <w:sz w:val="28"/>
          <w:szCs w:val="28"/>
        </w:rPr>
        <w:t>4.3 Quantification of Greenhouse Gas Emissions</w:t>
      </w:r>
      <w:bookmarkEnd w:id="43"/>
      <w:bookmarkEnd w:id="44"/>
    </w:p>
    <w:p w14:paraId="5DFB33BB" w14:textId="77777777" w:rsidR="002E68E2" w:rsidRDefault="00000000">
      <w:pPr>
        <w:pStyle w:val="3"/>
        <w:rPr>
          <w:sz w:val="28"/>
          <w:szCs w:val="28"/>
        </w:rPr>
      </w:pPr>
      <w:r>
        <w:rPr>
          <w:sz w:val="28"/>
          <w:szCs w:val="28"/>
        </w:rPr>
        <w:t xml:space="preserve"> </w:t>
      </w:r>
      <w:bookmarkStart w:id="45" w:name="_Toc28084"/>
      <w:bookmarkStart w:id="46" w:name="_Toc2251"/>
      <w:r>
        <w:rPr>
          <w:sz w:val="28"/>
          <w:szCs w:val="28"/>
        </w:rPr>
        <w:t>4.3.1 Identification of Emission Sources</w:t>
      </w:r>
      <w:bookmarkEnd w:id="45"/>
      <w:bookmarkEnd w:id="46"/>
    </w:p>
    <w:p w14:paraId="08FC7576"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company has identified the various emission sources for direct emissions, indirect emissions, and other indirect emissions as shown in Table 4-1.</w:t>
      </w:r>
    </w:p>
    <w:p w14:paraId="5832F241"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4-1 Identification of Emission Sources</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2877"/>
        <w:gridCol w:w="4473"/>
      </w:tblGrid>
      <w:tr w:rsidR="002E68E2" w14:paraId="195FBBF9" w14:textId="77777777">
        <w:trPr>
          <w:trHeight w:val="397"/>
          <w:tblHeader/>
          <w:jc w:val="center"/>
        </w:trPr>
        <w:tc>
          <w:tcPr>
            <w:tcW w:w="1838" w:type="dxa"/>
            <w:shd w:val="clear" w:color="auto" w:fill="D8D8D8" w:themeFill="background1" w:themeFillShade="D8"/>
            <w:vAlign w:val="center"/>
          </w:tcPr>
          <w:p w14:paraId="35847EE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Scope</w:t>
            </w:r>
          </w:p>
        </w:tc>
        <w:tc>
          <w:tcPr>
            <w:tcW w:w="2877" w:type="dxa"/>
            <w:shd w:val="clear" w:color="auto" w:fill="D8D8D8" w:themeFill="background1" w:themeFillShade="D8"/>
            <w:vAlign w:val="center"/>
          </w:tcPr>
          <w:p w14:paraId="3705553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4473" w:type="dxa"/>
            <w:shd w:val="clear" w:color="auto" w:fill="D8D8D8" w:themeFill="background1" w:themeFillShade="D8"/>
            <w:vAlign w:val="center"/>
          </w:tcPr>
          <w:p w14:paraId="62A2C4AB" w14:textId="77777777" w:rsidR="002E68E2" w:rsidRDefault="00000000">
            <w:pPr>
              <w:adjustRightInd w:val="0"/>
              <w:snapToGrid w:val="0"/>
              <w:spacing w:after="0" w:line="240" w:lineRule="auto"/>
              <w:jc w:val="center"/>
              <w:rPr>
                <w:rFonts w:ascii="Times New Roman" w:hAnsi="Times New Roman" w:cs="Times New Roman"/>
                <w:b/>
                <w:bCs/>
                <w:sz w:val="24"/>
                <w:szCs w:val="24"/>
                <w:lang w:eastAsia="zh-TW"/>
              </w:rPr>
            </w:pPr>
            <w:r>
              <w:rPr>
                <w:rFonts w:ascii="Times New Roman" w:hAnsi="Times New Roman" w:cs="Times New Roman"/>
                <w:b/>
                <w:bCs/>
                <w:sz w:val="24"/>
                <w:szCs w:val="24"/>
              </w:rPr>
              <w:t xml:space="preserve"> Corresponding Activity/Equipment Type</w:t>
            </w:r>
          </w:p>
        </w:tc>
      </w:tr>
      <w:tr w:rsidR="002E68E2" w14:paraId="34978941" w14:textId="77777777">
        <w:trPr>
          <w:trHeight w:val="397"/>
          <w:jc w:val="center"/>
        </w:trPr>
        <w:tc>
          <w:tcPr>
            <w:tcW w:w="1838" w:type="dxa"/>
            <w:vMerge w:val="restart"/>
            <w:noWrap/>
            <w:vAlign w:val="center"/>
          </w:tcPr>
          <w:p w14:paraId="08BB0F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Direct Emissions</w:t>
            </w:r>
          </w:p>
          <w:p w14:paraId="0B5C1A9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1)</w:t>
            </w:r>
          </w:p>
        </w:tc>
        <w:tc>
          <w:tcPr>
            <w:tcW w:w="2877" w:type="dxa"/>
            <w:vAlign w:val="center"/>
          </w:tcPr>
          <w:p w14:paraId="6774675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Direct Emissions</w:t>
            </w:r>
          </w:p>
        </w:tc>
        <w:tc>
          <w:tcPr>
            <w:tcW w:w="4473" w:type="dxa"/>
            <w:vAlign w:val="center"/>
          </w:tcPr>
          <w:p w14:paraId="77ACA088"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Government vehicles, forklifts</w:t>
            </w:r>
          </w:p>
        </w:tc>
      </w:tr>
      <w:tr w:rsidR="002E68E2" w14:paraId="4E0D02E6" w14:textId="77777777">
        <w:trPr>
          <w:trHeight w:val="397"/>
          <w:jc w:val="center"/>
        </w:trPr>
        <w:tc>
          <w:tcPr>
            <w:tcW w:w="1838" w:type="dxa"/>
            <w:vMerge/>
            <w:noWrap/>
            <w:vAlign w:val="center"/>
          </w:tcPr>
          <w:p w14:paraId="3479423A"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2AEE8D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Fugitive </w:t>
            </w:r>
            <w:r>
              <w:rPr>
                <w:rFonts w:ascii="Times New Roman" w:hAnsi="Times New Roman" w:cs="Times New Roman"/>
                <w:sz w:val="24"/>
                <w:szCs w:val="24"/>
              </w:rPr>
              <w:t>emissions</w:t>
            </w:r>
          </w:p>
        </w:tc>
        <w:tc>
          <w:tcPr>
            <w:tcW w:w="4473" w:type="dxa"/>
            <w:vAlign w:val="center"/>
          </w:tcPr>
          <w:p w14:paraId="1CA70239"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Air conditioning </w:t>
            </w:r>
            <w:r>
              <w:rPr>
                <w:rFonts w:ascii="Times New Roman" w:hAnsi="Times New Roman" w:cs="Times New Roman"/>
                <w:sz w:val="24"/>
                <w:szCs w:val="24"/>
              </w:rPr>
              <w:t>refrigerant leakage</w:t>
            </w:r>
            <w:r>
              <w:rPr>
                <w:rFonts w:ascii="Times New Roman" w:hAnsi="Times New Roman" w:cs="Times New Roman" w:hint="eastAsia"/>
                <w:sz w:val="24"/>
                <w:szCs w:val="24"/>
              </w:rPr>
              <w:t xml:space="preserve">, </w:t>
            </w:r>
            <w:r>
              <w:rPr>
                <w:rFonts w:ascii="Times New Roman" w:hAnsi="Times New Roman" w:cs="Times New Roman"/>
                <w:sz w:val="24"/>
                <w:szCs w:val="24"/>
              </w:rPr>
              <w:t>septic tanks</w:t>
            </w:r>
          </w:p>
        </w:tc>
      </w:tr>
      <w:tr w:rsidR="002E68E2" w14:paraId="35B19C23" w14:textId="77777777">
        <w:trPr>
          <w:trHeight w:val="397"/>
          <w:jc w:val="center"/>
        </w:trPr>
        <w:tc>
          <w:tcPr>
            <w:tcW w:w="1838" w:type="dxa"/>
            <w:noWrap/>
            <w:vAlign w:val="center"/>
          </w:tcPr>
          <w:p w14:paraId="643502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w:t>
            </w:r>
          </w:p>
          <w:p w14:paraId="60A443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2)</w:t>
            </w:r>
          </w:p>
        </w:tc>
        <w:tc>
          <w:tcPr>
            <w:tcW w:w="2877" w:type="dxa"/>
            <w:vAlign w:val="center"/>
          </w:tcPr>
          <w:p w14:paraId="18B099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4473" w:type="dxa"/>
            <w:vAlign w:val="center"/>
          </w:tcPr>
          <w:p w14:paraId="49FE23D6"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Office and production electrical equipment</w:t>
            </w:r>
          </w:p>
        </w:tc>
      </w:tr>
      <w:tr w:rsidR="002E68E2" w14:paraId="1C01BBB8" w14:textId="77777777">
        <w:trPr>
          <w:trHeight w:val="397"/>
          <w:jc w:val="center"/>
        </w:trPr>
        <w:tc>
          <w:tcPr>
            <w:tcW w:w="1838" w:type="dxa"/>
            <w:vMerge w:val="restart"/>
            <w:vAlign w:val="center"/>
          </w:tcPr>
          <w:p w14:paraId="79BFCA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Other indirect emissions</w:t>
            </w:r>
          </w:p>
          <w:p w14:paraId="4DD8A2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3)</w:t>
            </w:r>
          </w:p>
          <w:p w14:paraId="0AD5DF27"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49DE83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Goods and Services</w:t>
            </w:r>
          </w:p>
        </w:tc>
        <w:tc>
          <w:tcPr>
            <w:tcW w:w="4473" w:type="dxa"/>
            <w:vAlign w:val="center"/>
          </w:tcPr>
          <w:p w14:paraId="7866D4E1"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Purchased production and non-production raw materials</w:t>
            </w:r>
          </w:p>
        </w:tc>
      </w:tr>
      <w:tr w:rsidR="002E68E2" w14:paraId="2B1A2F59" w14:textId="77777777">
        <w:trPr>
          <w:trHeight w:val="397"/>
          <w:jc w:val="center"/>
        </w:trPr>
        <w:tc>
          <w:tcPr>
            <w:tcW w:w="1838" w:type="dxa"/>
            <w:vMerge/>
            <w:vAlign w:val="center"/>
          </w:tcPr>
          <w:p w14:paraId="098B3E9D"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3DEDCC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Capital goods</w:t>
            </w:r>
          </w:p>
        </w:tc>
        <w:tc>
          <w:tcPr>
            <w:tcW w:w="4473" w:type="dxa"/>
            <w:vAlign w:val="center"/>
          </w:tcPr>
          <w:p w14:paraId="66C83EB2"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Purchased production equipment </w:t>
            </w:r>
            <w:r>
              <w:rPr>
                <w:rFonts w:ascii="Times New Roman" w:hAnsi="Times New Roman" w:cs="Times New Roman" w:hint="eastAsia"/>
                <w:sz w:val="24"/>
                <w:szCs w:val="24"/>
              </w:rPr>
              <w:t xml:space="preserve">and </w:t>
            </w:r>
            <w:r>
              <w:rPr>
                <w:rFonts w:ascii="Times New Roman" w:hAnsi="Times New Roman" w:cs="Times New Roman"/>
                <w:sz w:val="24"/>
                <w:szCs w:val="24"/>
              </w:rPr>
              <w:t>buildings</w:t>
            </w:r>
          </w:p>
        </w:tc>
      </w:tr>
      <w:tr w:rsidR="002E68E2" w14:paraId="2815CBED" w14:textId="77777777">
        <w:trPr>
          <w:trHeight w:val="397"/>
          <w:jc w:val="center"/>
        </w:trPr>
        <w:tc>
          <w:tcPr>
            <w:tcW w:w="1838" w:type="dxa"/>
            <w:vMerge/>
            <w:vAlign w:val="center"/>
          </w:tcPr>
          <w:p w14:paraId="26972667"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0FA8F25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 and Energy-Related Activities</w:t>
            </w:r>
          </w:p>
        </w:tc>
        <w:tc>
          <w:tcPr>
            <w:tcW w:w="4473" w:type="dxa"/>
            <w:vAlign w:val="center"/>
          </w:tcPr>
          <w:p w14:paraId="5F64F068"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Fuel extraction, processing, and transportation/distribution</w:t>
            </w:r>
          </w:p>
          <w:p w14:paraId="3E679D99"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Purchased electricity: upstream and distribution emissions</w:t>
            </w:r>
          </w:p>
        </w:tc>
      </w:tr>
      <w:tr w:rsidR="002E68E2" w14:paraId="76CC70BA" w14:textId="77777777">
        <w:trPr>
          <w:trHeight w:val="397"/>
          <w:jc w:val="center"/>
        </w:trPr>
        <w:tc>
          <w:tcPr>
            <w:tcW w:w="1838" w:type="dxa"/>
            <w:vMerge/>
            <w:vAlign w:val="center"/>
          </w:tcPr>
          <w:p w14:paraId="673D18AA"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2DE81C3B" w14:textId="77777777" w:rsidR="002E68E2" w:rsidRDefault="00000000">
            <w:pPr>
              <w:adjustRightInd w:val="0"/>
              <w:snapToGrid w:val="0"/>
              <w:spacing w:after="0" w:line="240" w:lineRule="auto"/>
              <w:jc w:val="center"/>
              <w:rPr>
                <w:rFonts w:ascii="Times New Roman" w:hAnsi="Times New Roman" w:cs="Times New Roman"/>
                <w:sz w:val="24"/>
                <w:szCs w:val="24"/>
              </w:rPr>
            </w:pPr>
            <w:bookmarkStart w:id="47" w:name="OLE_LINK6"/>
            <w:r>
              <w:rPr>
                <w:rFonts w:ascii="Times New Roman" w:hAnsi="Times New Roman" w:cs="Times New Roman"/>
                <w:sz w:val="24"/>
                <w:szCs w:val="24"/>
              </w:rPr>
              <w:t xml:space="preserve"> Upstream transportation and</w:t>
            </w:r>
            <w:bookmarkEnd w:id="47"/>
            <w:r>
              <w:rPr>
                <w:rFonts w:ascii="Times New Roman" w:hAnsi="Times New Roman" w:cs="Times New Roman"/>
                <w:sz w:val="24"/>
                <w:szCs w:val="24"/>
              </w:rPr>
              <w:t xml:space="preserve"> distribution</w:t>
            </w:r>
          </w:p>
        </w:tc>
        <w:tc>
          <w:tcPr>
            <w:tcW w:w="4473" w:type="dxa"/>
            <w:vAlign w:val="center"/>
          </w:tcPr>
          <w:p w14:paraId="3C8FE18B"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Transportation and distribution of goods between suppliers and the </w:t>
            </w:r>
            <w:r>
              <w:rPr>
                <w:rFonts w:ascii="Times New Roman" w:hAnsi="Times New Roman" w:cs="Times New Roman" w:hint="eastAsia"/>
                <w:sz w:val="24"/>
                <w:szCs w:val="24"/>
              </w:rPr>
              <w:t>plant</w:t>
            </w:r>
          </w:p>
        </w:tc>
      </w:tr>
      <w:tr w:rsidR="002E68E2" w14:paraId="3BF0F042" w14:textId="77777777">
        <w:trPr>
          <w:trHeight w:val="397"/>
          <w:jc w:val="center"/>
        </w:trPr>
        <w:tc>
          <w:tcPr>
            <w:tcW w:w="1838" w:type="dxa"/>
            <w:vMerge/>
            <w:vAlign w:val="center"/>
          </w:tcPr>
          <w:p w14:paraId="1C0D8A9B"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4E8B19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generated during operations</w:t>
            </w:r>
          </w:p>
        </w:tc>
        <w:tc>
          <w:tcPr>
            <w:tcW w:w="4473" w:type="dxa"/>
            <w:vAlign w:val="center"/>
          </w:tcPr>
          <w:p w14:paraId="4964D29F"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Disposal of waste generated during production operations</w:t>
            </w:r>
          </w:p>
        </w:tc>
      </w:tr>
      <w:tr w:rsidR="002E68E2" w14:paraId="2A5AF744" w14:textId="77777777">
        <w:trPr>
          <w:trHeight w:val="397"/>
          <w:jc w:val="center"/>
        </w:trPr>
        <w:tc>
          <w:tcPr>
            <w:tcW w:w="1838" w:type="dxa"/>
            <w:vMerge/>
            <w:vAlign w:val="center"/>
          </w:tcPr>
          <w:p w14:paraId="253DED4B"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53C51D8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Business travel</w:t>
            </w:r>
          </w:p>
        </w:tc>
        <w:tc>
          <w:tcPr>
            <w:tcW w:w="4473" w:type="dxa"/>
            <w:vAlign w:val="center"/>
          </w:tcPr>
          <w:p w14:paraId="4C09ADBD"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Air travel</w:t>
            </w:r>
            <w:r>
              <w:rPr>
                <w:rFonts w:ascii="Times New Roman" w:hAnsi="Times New Roman" w:cs="Times New Roman" w:hint="eastAsia"/>
                <w:sz w:val="24"/>
                <w:szCs w:val="24"/>
              </w:rPr>
              <w:t xml:space="preserve">, </w:t>
            </w:r>
            <w:r>
              <w:rPr>
                <w:rFonts w:ascii="Times New Roman" w:hAnsi="Times New Roman" w:cs="Times New Roman"/>
                <w:sz w:val="24"/>
                <w:szCs w:val="24"/>
              </w:rPr>
              <w:t>rail travel</w:t>
            </w:r>
            <w:r>
              <w:rPr>
                <w:rFonts w:ascii="Times New Roman" w:hAnsi="Times New Roman" w:cs="Times New Roman" w:hint="eastAsia"/>
                <w:sz w:val="24"/>
                <w:szCs w:val="24"/>
              </w:rPr>
              <w:t xml:space="preserve">, and </w:t>
            </w:r>
            <w:r>
              <w:rPr>
                <w:rFonts w:ascii="Times New Roman" w:hAnsi="Times New Roman" w:cs="Times New Roman"/>
                <w:sz w:val="24"/>
                <w:szCs w:val="24"/>
              </w:rPr>
              <w:t>road travel</w:t>
            </w:r>
          </w:p>
        </w:tc>
      </w:tr>
      <w:tr w:rsidR="002E68E2" w14:paraId="587D53F5" w14:textId="77777777">
        <w:trPr>
          <w:trHeight w:val="397"/>
          <w:jc w:val="center"/>
        </w:trPr>
        <w:tc>
          <w:tcPr>
            <w:tcW w:w="1838" w:type="dxa"/>
            <w:vMerge/>
            <w:vAlign w:val="center"/>
          </w:tcPr>
          <w:p w14:paraId="7ECCA9BE"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0C98C7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commuting</w:t>
            </w:r>
          </w:p>
        </w:tc>
        <w:tc>
          <w:tcPr>
            <w:tcW w:w="4473" w:type="dxa"/>
            <w:vAlign w:val="center"/>
          </w:tcPr>
          <w:p w14:paraId="5C1CD0A6"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Cars (gasoline-powered, electric)</w:t>
            </w:r>
            <w:r>
              <w:rPr>
                <w:rFonts w:ascii="Times New Roman" w:hAnsi="Times New Roman" w:cs="Times New Roman" w:hint="eastAsia"/>
                <w:sz w:val="24"/>
                <w:szCs w:val="24"/>
              </w:rPr>
              <w:t xml:space="preserve">, </w:t>
            </w:r>
            <w:r>
              <w:rPr>
                <w:rFonts w:ascii="Times New Roman" w:hAnsi="Times New Roman" w:cs="Times New Roman"/>
                <w:sz w:val="24"/>
                <w:szCs w:val="24"/>
              </w:rPr>
              <w:t>commuter buses (including public buses)</w:t>
            </w:r>
            <w:r>
              <w:rPr>
                <w:rFonts w:ascii="Times New Roman" w:hAnsi="Times New Roman" w:cs="Times New Roman" w:hint="eastAsia"/>
                <w:sz w:val="24"/>
                <w:szCs w:val="24"/>
              </w:rPr>
              <w:t xml:space="preserve">, </w:t>
            </w:r>
            <w:r>
              <w:rPr>
                <w:rFonts w:ascii="Times New Roman" w:hAnsi="Times New Roman" w:cs="Times New Roman"/>
                <w:sz w:val="24"/>
                <w:szCs w:val="24"/>
              </w:rPr>
              <w:t>taxis/ride-hailing services</w:t>
            </w:r>
            <w:r>
              <w:rPr>
                <w:rFonts w:ascii="Times New Roman" w:hAnsi="Times New Roman" w:cs="Times New Roman" w:hint="eastAsia"/>
                <w:sz w:val="24"/>
                <w:szCs w:val="24"/>
              </w:rPr>
              <w:t xml:space="preserve">, </w:t>
            </w:r>
            <w:r>
              <w:rPr>
                <w:rFonts w:ascii="Times New Roman" w:hAnsi="Times New Roman" w:cs="Times New Roman"/>
                <w:sz w:val="24"/>
                <w:szCs w:val="24"/>
              </w:rPr>
              <w:t>electric scooters</w:t>
            </w:r>
          </w:p>
        </w:tc>
      </w:tr>
      <w:tr w:rsidR="002E68E2" w14:paraId="7AE0EF3D" w14:textId="77777777">
        <w:trPr>
          <w:trHeight w:val="397"/>
          <w:jc w:val="center"/>
        </w:trPr>
        <w:tc>
          <w:tcPr>
            <w:tcW w:w="1838" w:type="dxa"/>
            <w:vMerge/>
            <w:vAlign w:val="center"/>
          </w:tcPr>
          <w:p w14:paraId="5B0ACE2C" w14:textId="77777777" w:rsidR="002E68E2" w:rsidRDefault="002E68E2">
            <w:pPr>
              <w:adjustRightInd w:val="0"/>
              <w:snapToGrid w:val="0"/>
              <w:spacing w:after="0" w:line="240" w:lineRule="auto"/>
              <w:rPr>
                <w:rFonts w:ascii="Times New Roman" w:hAnsi="Times New Roman" w:cs="Times New Roman"/>
                <w:sz w:val="24"/>
                <w:szCs w:val="24"/>
              </w:rPr>
            </w:pPr>
          </w:p>
        </w:tc>
        <w:tc>
          <w:tcPr>
            <w:tcW w:w="2877" w:type="dxa"/>
            <w:vAlign w:val="center"/>
          </w:tcPr>
          <w:p w14:paraId="4894449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Downstream Transportation and Distribution</w:t>
            </w:r>
          </w:p>
        </w:tc>
        <w:tc>
          <w:tcPr>
            <w:tcW w:w="4473" w:type="dxa"/>
            <w:vAlign w:val="center"/>
          </w:tcPr>
          <w:p w14:paraId="7B18A0E2"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Transportation and distribution between </w:t>
            </w:r>
            <w:r>
              <w:rPr>
                <w:rFonts w:ascii="Times New Roman" w:hAnsi="Times New Roman" w:cs="Times New Roman" w:hint="eastAsia"/>
                <w:sz w:val="24"/>
                <w:szCs w:val="24"/>
              </w:rPr>
              <w:t xml:space="preserve">factories </w:t>
            </w:r>
            <w:r>
              <w:rPr>
                <w:rFonts w:ascii="Times New Roman" w:hAnsi="Times New Roman" w:cs="Times New Roman"/>
                <w:sz w:val="24"/>
                <w:szCs w:val="24"/>
              </w:rPr>
              <w:t>and market warehouses</w:t>
            </w:r>
          </w:p>
        </w:tc>
      </w:tr>
      <w:tr w:rsidR="002E68E2" w14:paraId="79AB3F81" w14:textId="77777777">
        <w:trPr>
          <w:trHeight w:val="382"/>
          <w:jc w:val="center"/>
        </w:trPr>
        <w:tc>
          <w:tcPr>
            <w:tcW w:w="1838" w:type="dxa"/>
            <w:vMerge/>
            <w:vAlign w:val="center"/>
          </w:tcPr>
          <w:p w14:paraId="22470227" w14:textId="77777777" w:rsidR="002E68E2" w:rsidRDefault="002E68E2">
            <w:pPr>
              <w:adjustRightInd w:val="0"/>
              <w:snapToGrid w:val="0"/>
              <w:spacing w:after="0" w:line="240" w:lineRule="auto"/>
              <w:rPr>
                <w:rFonts w:ascii="Times New Roman" w:hAnsi="Times New Roman" w:cs="Times New Roman"/>
                <w:sz w:val="24"/>
                <w:szCs w:val="24"/>
              </w:rPr>
            </w:pPr>
            <w:bookmarkStart w:id="48" w:name="_Toc10149"/>
          </w:p>
        </w:tc>
        <w:tc>
          <w:tcPr>
            <w:tcW w:w="2877" w:type="dxa"/>
            <w:vAlign w:val="center"/>
          </w:tcPr>
          <w:p w14:paraId="192A69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Handling of end-of-life products</w:t>
            </w:r>
          </w:p>
        </w:tc>
        <w:tc>
          <w:tcPr>
            <w:tcW w:w="4473" w:type="dxa"/>
            <w:vAlign w:val="center"/>
          </w:tcPr>
          <w:p w14:paraId="0B2DDE06"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End-of-life disposal of sold products</w:t>
            </w:r>
          </w:p>
        </w:tc>
      </w:tr>
    </w:tbl>
    <w:p w14:paraId="39B021F6" w14:textId="77777777" w:rsidR="002E68E2" w:rsidRDefault="00000000">
      <w:pPr>
        <w:pStyle w:val="3"/>
        <w:rPr>
          <w:sz w:val="28"/>
          <w:szCs w:val="28"/>
        </w:rPr>
      </w:pPr>
      <w:r>
        <w:rPr>
          <w:sz w:val="28"/>
          <w:szCs w:val="28"/>
        </w:rPr>
        <w:t xml:space="preserve"> </w:t>
      </w:r>
      <w:bookmarkStart w:id="49" w:name="_Toc10196"/>
      <w:r>
        <w:rPr>
          <w:sz w:val="28"/>
          <w:szCs w:val="28"/>
        </w:rPr>
        <w:t>4.3.2 Global Warming Potential (GWP)</w:t>
      </w:r>
      <w:bookmarkEnd w:id="48"/>
      <w:bookmarkEnd w:id="49"/>
    </w:p>
    <w:p w14:paraId="3513BC00" w14:textId="77777777" w:rsidR="002E68E2" w:rsidRDefault="00000000">
      <w:pPr>
        <w:keepNext/>
        <w:widowControl w:val="0"/>
        <w:topLinePunct/>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This carbon inventory primarily uses the 100-year Global Warming Potential (GWP 100, hereinafter referred to as GWP) from the IPCC Sixth Assessment Report (AR6) as the greenhouse gas conversion factor. The specific values are shown in Table 4-2.</w:t>
      </w:r>
    </w:p>
    <w:p w14:paraId="5120197A"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4-2 Global Warming Potential (GWP)</w:t>
      </w:r>
    </w:p>
    <w:tbl>
      <w:tblPr>
        <w:tblW w:w="9928" w:type="dxa"/>
        <w:jc w:val="center"/>
        <w:tblLayout w:type="fixed"/>
        <w:tblLook w:val="04A0" w:firstRow="1" w:lastRow="0" w:firstColumn="1" w:lastColumn="0" w:noHBand="0" w:noVBand="1"/>
      </w:tblPr>
      <w:tblGrid>
        <w:gridCol w:w="1184"/>
        <w:gridCol w:w="1680"/>
        <w:gridCol w:w="2888"/>
        <w:gridCol w:w="1120"/>
        <w:gridCol w:w="3056"/>
      </w:tblGrid>
      <w:tr w:rsidR="002E68E2" w14:paraId="5F0890C1" w14:textId="77777777">
        <w:trPr>
          <w:trHeight w:val="402"/>
          <w:tblHeader/>
          <w:jc w:val="center"/>
        </w:trPr>
        <w:tc>
          <w:tcPr>
            <w:tcW w:w="118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577E301D"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Greenhouse Gas</w:t>
            </w:r>
          </w:p>
        </w:tc>
        <w:tc>
          <w:tcPr>
            <w:tcW w:w="168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1F08BDBA"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Greenhouse Gas Subcategory</w:t>
            </w:r>
          </w:p>
        </w:tc>
        <w:tc>
          <w:tcPr>
            <w:tcW w:w="288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2D633F5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GHG</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5381E45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GWP Value</w:t>
            </w:r>
          </w:p>
        </w:tc>
        <w:tc>
          <w:tcPr>
            <w:tcW w:w="305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3921C17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Source</w:t>
            </w:r>
          </w:p>
        </w:tc>
      </w:tr>
      <w:tr w:rsidR="002E68E2" w14:paraId="3684EB74"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66A62CB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₂</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100EDC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₂</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251AAC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₂</w:t>
            </w:r>
            <w:r>
              <w:rPr>
                <w:rFonts w:ascii="Times New Roman" w:hAnsi="Times New Roman" w:cs="Times New Roman"/>
                <w:sz w:val="24"/>
                <w:szCs w:val="24"/>
              </w:rPr>
              <w:t xml:space="preserve"> Carbon dioxide</w:t>
            </w:r>
          </w:p>
        </w:tc>
        <w:tc>
          <w:tcPr>
            <w:tcW w:w="1120" w:type="dxa"/>
            <w:tcBorders>
              <w:top w:val="single" w:sz="4" w:space="0" w:color="000000"/>
              <w:left w:val="single" w:sz="4" w:space="0" w:color="000000"/>
              <w:bottom w:val="single" w:sz="4" w:space="0" w:color="000000"/>
              <w:right w:val="single" w:sz="4" w:space="0" w:color="000000"/>
            </w:tcBorders>
            <w:vAlign w:val="center"/>
          </w:tcPr>
          <w:p w14:paraId="0B4D87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384127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0A826C12"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24499C0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CH</w:t>
            </w:r>
            <w:r>
              <w:rPr>
                <w:rFonts w:ascii="Times New Roman" w:hAnsi="Times New Roman" w:cs="Times New Roman"/>
                <w:sz w:val="24"/>
                <w:szCs w:val="24"/>
                <w:vertAlign w:val="subscript"/>
              </w:rPr>
              <w:t>₄</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36F39F0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CH</w:t>
            </w:r>
            <w:r>
              <w:rPr>
                <w:rFonts w:ascii="Times New Roman" w:hAnsi="Times New Roman" w:cs="Times New Roman"/>
                <w:sz w:val="24"/>
                <w:szCs w:val="24"/>
                <w:vertAlign w:val="subscript"/>
              </w:rPr>
              <w:t>₄</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3B2955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bscript"/>
              </w:rPr>
              <w:t>CH₄</w:t>
            </w:r>
            <w:r>
              <w:rPr>
                <w:rFonts w:ascii="Times New Roman" w:hAnsi="Times New Roman" w:cs="Times New Roman"/>
                <w:sz w:val="24"/>
                <w:szCs w:val="24"/>
              </w:rPr>
              <w:t xml:space="preserve"> Methane</w:t>
            </w:r>
          </w:p>
        </w:tc>
        <w:tc>
          <w:tcPr>
            <w:tcW w:w="1120" w:type="dxa"/>
            <w:tcBorders>
              <w:top w:val="single" w:sz="4" w:space="0" w:color="000000"/>
              <w:left w:val="single" w:sz="4" w:space="0" w:color="000000"/>
              <w:bottom w:val="single" w:sz="4" w:space="0" w:color="000000"/>
              <w:right w:val="single" w:sz="4" w:space="0" w:color="000000"/>
            </w:tcBorders>
            <w:vAlign w:val="center"/>
          </w:tcPr>
          <w:p w14:paraId="3BBEBD5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27.9</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1F7299C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73931D11"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48789C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5628CD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w:t>
            </w:r>
            <w:r>
              <w:rPr>
                <w:rFonts w:ascii="Times New Roman" w:hAnsi="Times New Roman" w:cs="Times New Roman"/>
                <w:sz w:val="24"/>
                <w:szCs w:val="24"/>
                <w:vertAlign w:val="subscript"/>
              </w:rPr>
              <w:t>₂</w:t>
            </w:r>
            <w:r>
              <w:rPr>
                <w:rFonts w:ascii="Times New Roman" w:hAnsi="Times New Roman" w:cs="Times New Roman"/>
                <w:sz w:val="24"/>
                <w:szCs w:val="24"/>
              </w:rPr>
              <w:t>O</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767095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O Nitrous oxide</w:t>
            </w:r>
          </w:p>
        </w:tc>
        <w:tc>
          <w:tcPr>
            <w:tcW w:w="1120" w:type="dxa"/>
            <w:tcBorders>
              <w:top w:val="single" w:sz="4" w:space="0" w:color="000000"/>
              <w:left w:val="single" w:sz="4" w:space="0" w:color="000000"/>
              <w:bottom w:val="single" w:sz="4" w:space="0" w:color="000000"/>
              <w:right w:val="single" w:sz="4" w:space="0" w:color="000000"/>
            </w:tcBorders>
            <w:vAlign w:val="center"/>
          </w:tcPr>
          <w:p w14:paraId="582237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273</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33C6FA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00AAD801"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6DCF10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3BAAC5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R22</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2155DEA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HCFC-22, R-22, HCFC-22,</w:t>
            </w:r>
          </w:p>
        </w:tc>
        <w:tc>
          <w:tcPr>
            <w:tcW w:w="1120" w:type="dxa"/>
            <w:tcBorders>
              <w:top w:val="single" w:sz="4" w:space="0" w:color="000000"/>
              <w:left w:val="single" w:sz="4" w:space="0" w:color="000000"/>
              <w:bottom w:val="single" w:sz="4" w:space="0" w:color="000000"/>
              <w:right w:val="single" w:sz="4" w:space="0" w:color="000000"/>
            </w:tcBorders>
            <w:vAlign w:val="center"/>
          </w:tcPr>
          <w:p w14:paraId="764ACA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1960</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2E36A02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6AEB4DF5"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352D5E0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287E01B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R32</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0514015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HFC-32/R-32 difluoromethane, CH₂F₂ </w:t>
            </w:r>
          </w:p>
        </w:tc>
        <w:tc>
          <w:tcPr>
            <w:tcW w:w="1120" w:type="dxa"/>
            <w:tcBorders>
              <w:top w:val="single" w:sz="4" w:space="0" w:color="000000"/>
              <w:left w:val="single" w:sz="4" w:space="0" w:color="000000"/>
              <w:bottom w:val="single" w:sz="4" w:space="0" w:color="000000"/>
              <w:right w:val="single" w:sz="4" w:space="0" w:color="000000"/>
            </w:tcBorders>
            <w:vAlign w:val="center"/>
          </w:tcPr>
          <w:p w14:paraId="6B8519F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771</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6C433F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366B4878"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601AA29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78DB8A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R410a</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195E9F4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R410a, R32/125 (50/50)</w:t>
            </w:r>
          </w:p>
        </w:tc>
        <w:tc>
          <w:tcPr>
            <w:tcW w:w="1120" w:type="dxa"/>
            <w:tcBorders>
              <w:top w:val="single" w:sz="4" w:space="0" w:color="000000"/>
              <w:left w:val="single" w:sz="4" w:space="0" w:color="000000"/>
              <w:bottom w:val="single" w:sz="4" w:space="0" w:color="000000"/>
              <w:right w:val="single" w:sz="4" w:space="0" w:color="000000"/>
            </w:tcBorders>
            <w:vAlign w:val="center"/>
          </w:tcPr>
          <w:p w14:paraId="5E10799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2255.5</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3916B0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bl>
    <w:p w14:paraId="4CC7F437" w14:textId="77777777" w:rsidR="002E68E2" w:rsidRDefault="00000000">
      <w:pPr>
        <w:pStyle w:val="3"/>
        <w:rPr>
          <w:sz w:val="28"/>
          <w:szCs w:val="28"/>
        </w:rPr>
      </w:pPr>
      <w:bookmarkStart w:id="50" w:name="_Toc32458"/>
      <w:bookmarkStart w:id="51" w:name="_Toc2551"/>
      <w:r>
        <w:rPr>
          <w:sz w:val="28"/>
          <w:szCs w:val="28"/>
        </w:rPr>
        <w:t xml:space="preserve"> 4.3.3 Description of Quantification Methods</w:t>
      </w:r>
      <w:bookmarkEnd w:id="50"/>
      <w:bookmarkEnd w:id="51"/>
    </w:p>
    <w:p w14:paraId="2DF0CCE8"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4.3.3.1 Scope 1 Quantification Methods</w:t>
      </w:r>
    </w:p>
    <w:p w14:paraId="09F19B7A" w14:textId="77777777" w:rsidR="002E68E2" w:rsidRDefault="00000000">
      <w:pPr>
        <w:spacing w:after="0" w:line="360" w:lineRule="auto"/>
        <w:rPr>
          <w:rFonts w:ascii="Times New Roman" w:hAnsi="Times New Roman" w:cs="Times New Roman"/>
          <w:sz w:val="28"/>
          <w:szCs w:val="28"/>
        </w:rPr>
      </w:pPr>
      <w:r>
        <w:rPr>
          <w:rFonts w:ascii="Times New Roman" w:hAnsi="Times New Roman" w:cs="Times New Roman"/>
          <w:b/>
          <w:bCs/>
          <w:color w:val="000000"/>
          <w:kern w:val="0"/>
          <w:sz w:val="28"/>
          <w:szCs w:val="28"/>
          <w:lang w:bidi="ar"/>
        </w:rPr>
        <w:t xml:space="preserve"> (</w:t>
      </w:r>
      <w:r>
        <w:rPr>
          <w:rFonts w:ascii="Times New Roman" w:hAnsi="Times New Roman" w:cs="Times New Roman" w:hint="eastAsia"/>
          <w:b/>
          <w:bCs/>
          <w:color w:val="000000"/>
          <w:kern w:val="0"/>
          <w:sz w:val="28"/>
          <w:szCs w:val="28"/>
          <w:lang w:bidi="ar"/>
        </w:rPr>
        <w:t>1</w:t>
      </w:r>
      <w:r>
        <w:rPr>
          <w:rFonts w:ascii="Times New Roman" w:hAnsi="Times New Roman" w:cs="Times New Roman"/>
          <w:b/>
          <w:bCs/>
          <w:color w:val="000000"/>
          <w:kern w:val="0"/>
          <w:sz w:val="28"/>
          <w:szCs w:val="28"/>
          <w:lang w:bidi="ar"/>
        </w:rPr>
        <w:t>) Mobile Source Emissions</w:t>
      </w:r>
    </w:p>
    <w:p w14:paraId="14E65DD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Calculation formula: E</w:t>
      </w:r>
      <w:r>
        <w:rPr>
          <w:rFonts w:ascii="Times New Roman" w:hAnsi="Times New Roman" w:cs="Times New Roman"/>
          <w:sz w:val="28"/>
          <w:szCs w:val="28"/>
          <w:vertAlign w:val="subscript"/>
        </w:rPr>
        <w:t>CO2</w:t>
      </w:r>
      <w:r>
        <w:rPr>
          <w:rFonts w:ascii="Times New Roman" w:hAnsi="Times New Roman" w:cs="Times New Roman" w:hint="eastAsia"/>
          <w:sz w:val="28"/>
          <w:szCs w:val="28"/>
          <w:vertAlign w:val="subscript"/>
        </w:rPr>
        <w:t>e</w:t>
      </w:r>
      <w:r>
        <w:rPr>
          <w:rFonts w:ascii="Times New Roman" w:hAnsi="Times New Roman" w:cs="Times New Roman"/>
          <w:sz w:val="28"/>
          <w:szCs w:val="28"/>
        </w:rPr>
        <w:t xml:space="preserve">= AD × EF × GWP </w:t>
      </w:r>
    </w:p>
    <w:p w14:paraId="64AA64E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 is the consumption of gasoline and diesel as fossil fuels in 2025, in kg;</w:t>
      </w:r>
    </w:p>
    <w:p w14:paraId="77EEF34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EF: Default emission factors are sourced from the *IPCC Guidelines for National Greenhouse Gas Inventories 2006 (Revised 2019)*, while the net calorific value (NCV) and oxygen factor (OF) are sourced from the *Guidelines for the Accounting and Reporting of Greenhouse Gas Emissions from Land Transport Enterprises (Trial Version)*. EF = emission factor × NCV × OF. </w:t>
      </w:r>
    </w:p>
    <w:p w14:paraId="24F7A517" w14:textId="77777777" w:rsidR="002E68E2" w:rsidRDefault="00000000">
      <w:pPr>
        <w:adjustRightInd w:val="0"/>
        <w:snapToGrid w:val="0"/>
        <w:spacing w:after="0" w:line="360" w:lineRule="auto"/>
        <w:ind w:firstLineChars="200" w:firstLine="560"/>
        <w:jc w:val="both"/>
        <w:rPr>
          <w:rFonts w:ascii="Times New Roman" w:hAnsi="Times New Roman" w:cs="Times New Roman"/>
          <w:b/>
          <w:bCs/>
          <w:color w:val="000000"/>
          <w:kern w:val="0"/>
          <w:sz w:val="28"/>
          <w:szCs w:val="28"/>
          <w:lang w:bidi="ar"/>
        </w:rPr>
      </w:pPr>
      <w:r>
        <w:rPr>
          <w:rFonts w:ascii="Times New Roman" w:hAnsi="Times New Roman" w:cs="Times New Roman"/>
          <w:sz w:val="28"/>
          <w:szCs w:val="28"/>
        </w:rPr>
        <w:t xml:space="preserve"> Changes in Quantification Methodology: There were no changes in quantification methodology for this year’s inventory.</w:t>
      </w:r>
    </w:p>
    <w:p w14:paraId="4B85231E" w14:textId="77777777" w:rsidR="002E68E2" w:rsidRDefault="00000000">
      <w:pPr>
        <w:spacing w:after="0" w:line="360" w:lineRule="auto"/>
        <w:rPr>
          <w:rFonts w:ascii="Times New Roman" w:hAnsi="Times New Roman" w:cs="Times New Roman"/>
          <w:sz w:val="28"/>
          <w:szCs w:val="28"/>
        </w:rPr>
      </w:pPr>
      <w:r>
        <w:rPr>
          <w:rFonts w:ascii="Times New Roman" w:hAnsi="Times New Roman" w:cs="Times New Roman"/>
          <w:b/>
          <w:bCs/>
          <w:color w:val="000000"/>
          <w:kern w:val="0"/>
          <w:sz w:val="28"/>
          <w:szCs w:val="28"/>
          <w:lang w:bidi="ar"/>
        </w:rPr>
        <w:t xml:space="preserve"> (</w:t>
      </w:r>
      <w:r>
        <w:rPr>
          <w:rFonts w:ascii="Times New Roman" w:hAnsi="Times New Roman" w:cs="Times New Roman" w:hint="eastAsia"/>
          <w:b/>
          <w:bCs/>
          <w:color w:val="000000"/>
          <w:kern w:val="0"/>
          <w:sz w:val="28"/>
          <w:szCs w:val="28"/>
          <w:lang w:bidi="ar"/>
        </w:rPr>
        <w:t>2</w:t>
      </w:r>
      <w:r>
        <w:rPr>
          <w:rFonts w:ascii="Times New Roman" w:hAnsi="Times New Roman" w:cs="Times New Roman"/>
          <w:b/>
          <w:bCs/>
          <w:color w:val="000000"/>
          <w:kern w:val="0"/>
          <w:sz w:val="28"/>
          <w:szCs w:val="28"/>
          <w:lang w:bidi="ar"/>
        </w:rPr>
        <w:t>) Fugitive Emissions</w:t>
      </w:r>
    </w:p>
    <w:p w14:paraId="4DA125D7" w14:textId="77777777" w:rsidR="002E68E2" w:rsidRDefault="00000000">
      <w:pPr>
        <w:adjustRightInd w:val="0"/>
        <w:snapToGrid w:val="0"/>
        <w:spacing w:after="0" w:line="360" w:lineRule="auto"/>
        <w:ind w:firstLineChars="200" w:firstLine="562"/>
        <w:jc w:val="both"/>
        <w:rPr>
          <w:rFonts w:ascii="Times New Roman" w:hAnsi="Times New Roman" w:cs="Times New Roman"/>
          <w:b/>
          <w:bCs/>
          <w:sz w:val="28"/>
          <w:szCs w:val="28"/>
        </w:rPr>
      </w:pPr>
      <w:r>
        <w:rPr>
          <w:rFonts w:ascii="Times New Roman" w:hAnsi="Times New Roman" w:cs="Times New Roman"/>
          <w:b/>
          <w:bCs/>
          <w:sz w:val="28"/>
          <w:szCs w:val="28"/>
        </w:rPr>
        <w:t xml:space="preserve"> ① Refrigerant leakage</w:t>
      </w:r>
    </w:p>
    <w:p w14:paraId="3A35912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Calculation formula: E</w:t>
      </w:r>
      <w:r>
        <w:rPr>
          <w:rFonts w:ascii="Times New Roman" w:hAnsi="Times New Roman" w:cs="Times New Roman"/>
          <w:sz w:val="28"/>
          <w:szCs w:val="28"/>
          <w:vertAlign w:val="subscript"/>
        </w:rPr>
        <w:t>CO2</w:t>
      </w:r>
      <w:r>
        <w:rPr>
          <w:rFonts w:ascii="Times New Roman" w:hAnsi="Times New Roman" w:cs="Times New Roman"/>
          <w:sz w:val="28"/>
          <w:szCs w:val="28"/>
        </w:rPr>
        <w:t xml:space="preserve">= AD × EF × GWP </w:t>
      </w:r>
    </w:p>
    <w:p w14:paraId="340F770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 is the refrigerant capacity of </w:t>
      </w:r>
      <w:r>
        <w:rPr>
          <w:rFonts w:ascii="Times New Roman" w:hAnsi="Times New Roman" w:cs="Times New Roman" w:hint="eastAsia"/>
          <w:sz w:val="28"/>
          <w:szCs w:val="28"/>
        </w:rPr>
        <w:t xml:space="preserve">air conditioning </w:t>
      </w:r>
      <w:r>
        <w:rPr>
          <w:rFonts w:ascii="Times New Roman" w:hAnsi="Times New Roman" w:cs="Times New Roman"/>
          <w:sz w:val="28"/>
          <w:szCs w:val="28"/>
        </w:rPr>
        <w:t>systems installed in 2025;</w:t>
      </w:r>
    </w:p>
    <w:p w14:paraId="50559E1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EF is the leakage rate, derived from IPCC 2006;</w:t>
      </w:r>
    </w:p>
    <w:p w14:paraId="7F9F60D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Changes in quantification methodology: </w:t>
      </w:r>
      <w:r>
        <w:rPr>
          <w:rFonts w:ascii="Times New Roman" w:hAnsi="Times New Roman" w:cs="Times New Roman" w:hint="eastAsia"/>
          <w:sz w:val="28"/>
          <w:szCs w:val="28"/>
        </w:rPr>
        <w:t>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r>
        <w:rPr>
          <w:rFonts w:ascii="Times New Roman" w:hAnsi="Times New Roman" w:cs="Times New Roman"/>
          <w:sz w:val="28"/>
          <w:szCs w:val="28"/>
        </w:rPr>
        <w:t>.</w:t>
      </w:r>
    </w:p>
    <w:p w14:paraId="20536C61" w14:textId="77777777" w:rsidR="002E68E2" w:rsidRDefault="00000000">
      <w:pPr>
        <w:adjustRightInd w:val="0"/>
        <w:snapToGrid w:val="0"/>
        <w:spacing w:after="0" w:line="360" w:lineRule="auto"/>
        <w:ind w:firstLineChars="200" w:firstLine="562"/>
        <w:jc w:val="both"/>
        <w:rPr>
          <w:rFonts w:ascii="Times New Roman" w:hAnsi="Times New Roman" w:cs="Times New Roman"/>
          <w:b/>
          <w:bCs/>
          <w:sz w:val="28"/>
          <w:szCs w:val="28"/>
        </w:rPr>
      </w:pPr>
      <w:r>
        <w:rPr>
          <w:rFonts w:ascii="Times New Roman" w:hAnsi="Times New Roman" w:cs="Times New Roman" w:hint="eastAsia"/>
          <w:b/>
          <w:bCs/>
          <w:sz w:val="28"/>
          <w:szCs w:val="28"/>
        </w:rPr>
        <w:t xml:space="preserve"> </w:t>
      </w:r>
      <w:r>
        <w:rPr>
          <w:rFonts w:ascii="Times New Roman" w:hAnsi="Times New Roman" w:cs="Times New Roman" w:hint="eastAsia"/>
          <w:b/>
          <w:bCs/>
          <w:sz w:val="28"/>
          <w:szCs w:val="28"/>
        </w:rPr>
        <w:t>②</w:t>
      </w:r>
      <w:r>
        <w:rPr>
          <w:rFonts w:ascii="Times New Roman" w:hAnsi="Times New Roman" w:cs="Times New Roman" w:hint="eastAsia"/>
          <w:b/>
          <w:bCs/>
          <w:sz w:val="28"/>
          <w:szCs w:val="28"/>
        </w:rPr>
        <w:t xml:space="preserve"> </w:t>
      </w:r>
      <w:r>
        <w:rPr>
          <w:rFonts w:ascii="Times New Roman" w:hAnsi="Times New Roman" w:cs="Times New Roman"/>
          <w:b/>
          <w:bCs/>
          <w:sz w:val="28"/>
          <w:szCs w:val="28"/>
        </w:rPr>
        <w:t>Methane emissions from septic tanks</w:t>
      </w:r>
    </w:p>
    <w:p w14:paraId="3B718F5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Calculation formula: E</w:t>
      </w:r>
      <w:r>
        <w:rPr>
          <w:rFonts w:ascii="Times New Roman" w:hAnsi="Times New Roman" w:cs="Times New Roman"/>
          <w:sz w:val="28"/>
          <w:szCs w:val="28"/>
          <w:vertAlign w:val="subscript"/>
        </w:rPr>
        <w:t>CO2</w:t>
      </w:r>
      <w:r>
        <w:rPr>
          <w:rFonts w:ascii="Times New Roman" w:hAnsi="Times New Roman" w:cs="Times New Roman"/>
          <w:sz w:val="28"/>
          <w:szCs w:val="28"/>
        </w:rPr>
        <w:t xml:space="preserve">= AD × EF × GWP </w:t>
      </w:r>
    </w:p>
    <w:p w14:paraId="0E94EF1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 is the total BOD generated by septic tanks in 2025; Total BOD generated = ((Total number of employees – Number of employees residing on-site) × Total working hours in 2025 / 24 + Number of employees residing on-site × Number of days residing on-site </w:t>
      </w:r>
      <w:r>
        <w:rPr>
          <w:rFonts w:ascii="Times New Roman" w:hAnsi="Times New Roman" w:cs="Times New Roman" w:hint="eastAsia"/>
          <w:sz w:val="28"/>
          <w:szCs w:val="28"/>
        </w:rPr>
        <w:t>+ Working hours of outsourced personnel / 24</w:t>
      </w:r>
      <w:r>
        <w:rPr>
          <w:rFonts w:ascii="Times New Roman" w:hAnsi="Times New Roman" w:cs="Times New Roman"/>
          <w:sz w:val="28"/>
          <w:szCs w:val="28"/>
        </w:rPr>
        <w:t>) × Daily BOD generation per person (default value); Daily BOD generation per person is derived from IPCC 2006;</w:t>
      </w:r>
    </w:p>
    <w:p w14:paraId="02A55A8B" w14:textId="77777777" w:rsidR="002E68E2" w:rsidRDefault="00000000">
      <w:pPr>
        <w:adjustRightInd w:val="0"/>
        <w:snapToGrid w:val="0"/>
        <w:spacing w:after="0"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 EF is the product of the maximum methane production capacity (Bo) of 0.6 and the methane correction factor (MCF) of 0.5, as specified in Tables 6.2 and 6.3 of IPCC 2006 Volume 5; that is, EF = Bo × MCF;</w:t>
      </w:r>
    </w:p>
    <w:p w14:paraId="1C8F2C6A"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Changes in quantification methodology: </w:t>
      </w:r>
      <w:r>
        <w:rPr>
          <w:rFonts w:ascii="Times New Roman" w:hAnsi="Times New Roman" w:cs="Times New Roman" w:hint="eastAsia"/>
          <w:sz w:val="28"/>
          <w:szCs w:val="28"/>
        </w:rPr>
        <w:t>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r>
        <w:rPr>
          <w:rFonts w:ascii="Times New Roman" w:hAnsi="Times New Roman" w:cs="Times New Roman"/>
          <w:sz w:val="28"/>
          <w:szCs w:val="28"/>
        </w:rPr>
        <w:t>.</w:t>
      </w:r>
    </w:p>
    <w:p w14:paraId="3BA78E8A"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4.3.3.2 Scope 2 Quantification Methodology</w:t>
      </w:r>
    </w:p>
    <w:p w14:paraId="26141F2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calculation of Scope 2 greenhouse gas emissions is divided into market-based and location-based methods, with the quantification formulas as follows:</w:t>
      </w:r>
    </w:p>
    <w:p w14:paraId="6CFCA90F"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(1) Location-based</w:t>
      </w:r>
    </w:p>
    <w:p w14:paraId="33EE88A1"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Emissions = AD</w:t>
      </w:r>
      <w:r>
        <w:rPr>
          <w:rFonts w:ascii="Times New Roman" w:hAnsi="Times New Roman" w:cs="Times New Roman"/>
          <w:sz w:val="28"/>
          <w:szCs w:val="28"/>
          <w:vertAlign w:val="subscript"/>
        </w:rPr>
        <w:t>Domestic</w:t>
      </w:r>
      <w:r>
        <w:rPr>
          <w:rFonts w:ascii="Times New Roman" w:hAnsi="Times New Roman" w:cs="Times New Roman"/>
          <w:sz w:val="28"/>
          <w:szCs w:val="28"/>
        </w:rPr>
        <w:t>× EF</w:t>
      </w:r>
      <w:r>
        <w:rPr>
          <w:rFonts w:ascii="Times New Roman" w:hAnsi="Times New Roman" w:cs="Times New Roman"/>
          <w:sz w:val="28"/>
          <w:szCs w:val="28"/>
          <w:vertAlign w:val="subscript"/>
        </w:rPr>
        <w:t>Domestic</w:t>
      </w:r>
    </w:p>
    <w:p w14:paraId="60FC5CC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w:t>
      </w:r>
      <w:r>
        <w:rPr>
          <w:rFonts w:ascii="Times New Roman" w:hAnsi="Times New Roman" w:cs="Times New Roman"/>
          <w:sz w:val="28"/>
          <w:szCs w:val="28"/>
          <w:vertAlign w:val="subscript"/>
        </w:rPr>
        <w:t>Domestic</w:t>
      </w:r>
      <w:r>
        <w:rPr>
          <w:rFonts w:ascii="Times New Roman" w:hAnsi="Times New Roman" w:cs="Times New Roman"/>
          <w:sz w:val="28"/>
          <w:szCs w:val="28"/>
        </w:rPr>
        <w:t>represents purchased electricity, derived from financial data provided by the finance department, including purchased green electricity and green certificate data;</w:t>
      </w:r>
    </w:p>
    <w:p w14:paraId="4C804BC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EF</w:t>
      </w:r>
      <w:r>
        <w:rPr>
          <w:rFonts w:ascii="Times New Roman" w:hAnsi="Times New Roman" w:cs="Times New Roman"/>
          <w:sz w:val="28"/>
          <w:szCs w:val="28"/>
          <w:vertAlign w:val="subscript"/>
        </w:rPr>
        <w:t>Domestic</w:t>
      </w:r>
      <w:r>
        <w:rPr>
          <w:rFonts w:ascii="Times New Roman" w:hAnsi="Times New Roman" w:cs="Times New Roman"/>
          <w:sz w:val="28"/>
          <w:szCs w:val="28"/>
        </w:rPr>
        <w:t xml:space="preserve">is the emission factor, using the latest 2023 national average electricity CO₂ emission factor </w:t>
      </w:r>
      <w:r>
        <w:rPr>
          <w:rFonts w:ascii="Times New Roman" w:hAnsi="Times New Roman" w:cs="Times New Roman"/>
          <w:sz w:val="28"/>
          <w:szCs w:val="28"/>
          <w:vertAlign w:val="subscript"/>
        </w:rPr>
        <w:t>of 0</w:t>
      </w:r>
      <w:r>
        <w:rPr>
          <w:rFonts w:ascii="Times New Roman" w:hAnsi="Times New Roman" w:cs="Times New Roman"/>
          <w:sz w:val="28"/>
          <w:szCs w:val="28"/>
        </w:rPr>
        <w:t>.</w:t>
      </w:r>
      <w:r>
        <w:rPr>
          <w:rFonts w:ascii="Times New Roman" w:hAnsi="Times New Roman" w:cs="Times New Roman"/>
          <w:sz w:val="28"/>
          <w:szCs w:val="28"/>
          <w:vertAlign w:val="subscript"/>
        </w:rPr>
        <w:t>5306</w:t>
      </w:r>
      <w:r>
        <w:rPr>
          <w:rFonts w:ascii="Times New Roman" w:hAnsi="Times New Roman" w:cs="Times New Roman"/>
          <w:sz w:val="28"/>
          <w:szCs w:val="28"/>
        </w:rPr>
        <w:t>kgCO₂/kWh published by the Ministry of Ecology and Environment.</w:t>
      </w:r>
    </w:p>
    <w:p w14:paraId="70E728EA"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(2) Market-based</w:t>
      </w:r>
    </w:p>
    <w:p w14:paraId="6F19983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vertAlign w:val="subscript"/>
        </w:rPr>
      </w:pPr>
      <w:r>
        <w:rPr>
          <w:rFonts w:ascii="Times New Roman" w:hAnsi="Times New Roman" w:cs="Times New Roman"/>
          <w:sz w:val="28"/>
          <w:szCs w:val="28"/>
        </w:rPr>
        <w:t xml:space="preserve"> Emissions = AD</w:t>
      </w:r>
      <w:r>
        <w:rPr>
          <w:rFonts w:ascii="Times New Roman" w:hAnsi="Times New Roman" w:cs="Times New Roman" w:hint="eastAsia"/>
          <w:sz w:val="28"/>
          <w:szCs w:val="28"/>
          <w:vertAlign w:val="subscript"/>
        </w:rPr>
        <w:t>Grid</w:t>
      </w:r>
      <w:r>
        <w:rPr>
          <w:rFonts w:ascii="Times New Roman" w:hAnsi="Times New Roman" w:cs="Times New Roman"/>
          <w:sz w:val="28"/>
          <w:szCs w:val="28"/>
        </w:rPr>
        <w:t>× EF</w:t>
      </w:r>
      <w:r>
        <w:rPr>
          <w:rFonts w:ascii="Times New Roman" w:hAnsi="Times New Roman" w:cs="Times New Roman" w:hint="eastAsia"/>
          <w:sz w:val="28"/>
          <w:szCs w:val="28"/>
          <w:vertAlign w:val="subscript"/>
        </w:rPr>
        <w:t>National</w:t>
      </w:r>
      <w:r>
        <w:rPr>
          <w:rFonts w:ascii="Times New Roman" w:hAnsi="Times New Roman" w:cs="Times New Roman"/>
          <w:sz w:val="28"/>
          <w:szCs w:val="28"/>
        </w:rPr>
        <w:t>+ AD</w:t>
      </w:r>
      <w:r>
        <w:rPr>
          <w:rFonts w:ascii="Times New Roman" w:hAnsi="Times New Roman" w:cs="Times New Roman"/>
          <w:sz w:val="28"/>
          <w:szCs w:val="28"/>
          <w:vertAlign w:val="subscript"/>
        </w:rPr>
        <w:t>Green Power &amp; Certificates</w:t>
      </w:r>
      <w:r>
        <w:rPr>
          <w:rFonts w:ascii="Times New Roman" w:hAnsi="Times New Roman" w:cs="Times New Roman"/>
          <w:sz w:val="28"/>
          <w:szCs w:val="28"/>
        </w:rPr>
        <w:t>× EF</w:t>
      </w:r>
      <w:r>
        <w:rPr>
          <w:rFonts w:ascii="Times New Roman" w:hAnsi="Times New Roman" w:cs="Times New Roman"/>
          <w:sz w:val="28"/>
          <w:szCs w:val="28"/>
          <w:vertAlign w:val="subscript"/>
        </w:rPr>
        <w:t>Green Power &amp; Certificates</w:t>
      </w:r>
    </w:p>
    <w:p w14:paraId="43F2201F"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w:t>
      </w:r>
      <w:r>
        <w:rPr>
          <w:rFonts w:ascii="Times New Roman" w:hAnsi="Times New Roman" w:cs="Times New Roman"/>
          <w:sz w:val="28"/>
          <w:szCs w:val="28"/>
          <w:vertAlign w:val="subscript"/>
        </w:rPr>
        <w:t>Domestic</w:t>
      </w:r>
      <w:r>
        <w:rPr>
          <w:rFonts w:ascii="Times New Roman" w:hAnsi="Times New Roman" w:cs="Times New Roman"/>
          <w:sz w:val="28"/>
          <w:szCs w:val="28"/>
        </w:rPr>
        <w:t>represents the purchased electricity volume after deducting green electricity and green certificate volumes;</w:t>
      </w:r>
    </w:p>
    <w:p w14:paraId="3AC7158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EF</w:t>
      </w:r>
      <w:r>
        <w:rPr>
          <w:rFonts w:ascii="Times New Roman" w:hAnsi="Times New Roman" w:cs="Times New Roman"/>
          <w:sz w:val="28"/>
          <w:szCs w:val="28"/>
          <w:vertAlign w:val="subscript"/>
        </w:rPr>
        <w:t>Domestic</w:t>
      </w:r>
      <w:r>
        <w:rPr>
          <w:rFonts w:ascii="Times New Roman" w:hAnsi="Times New Roman" w:cs="Times New Roman"/>
          <w:sz w:val="28"/>
          <w:szCs w:val="28"/>
        </w:rPr>
        <w:t>is the emission factor, using the latest 2023 national average electricity CO₂ emission factor (excluding non-fossil energy electricity from market-based transactions) of 0.</w:t>
      </w:r>
      <w:r>
        <w:rPr>
          <w:rFonts w:ascii="Times New Roman" w:hAnsi="Times New Roman" w:cs="Times New Roman"/>
          <w:sz w:val="28"/>
          <w:szCs w:val="28"/>
          <w:vertAlign w:val="subscript"/>
        </w:rPr>
        <w:t>6096 kgCO₂</w:t>
      </w:r>
      <w:r>
        <w:rPr>
          <w:rFonts w:ascii="Times New Roman" w:hAnsi="Times New Roman" w:cs="Times New Roman"/>
          <w:sz w:val="28"/>
          <w:szCs w:val="28"/>
        </w:rPr>
        <w:t>/kWh published by the Ministry of Ecology and Environment;</w:t>
      </w:r>
    </w:p>
    <w:p w14:paraId="02910AA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AD</w:t>
      </w:r>
      <w:r>
        <w:rPr>
          <w:rFonts w:ascii="Times New Roman" w:hAnsi="Times New Roman" w:cs="Times New Roman"/>
          <w:sz w:val="28"/>
          <w:szCs w:val="28"/>
          <w:vertAlign w:val="subscript"/>
        </w:rPr>
        <w:t>Green Power and Green Certificates</w:t>
      </w:r>
      <w:r>
        <w:rPr>
          <w:rFonts w:ascii="Times New Roman" w:hAnsi="Times New Roman" w:cs="Times New Roman"/>
          <w:sz w:val="28"/>
          <w:szCs w:val="28"/>
        </w:rPr>
        <w:t xml:space="preserve">represents the volume of purchased green power and green certificates; </w:t>
      </w:r>
    </w:p>
    <w:p w14:paraId="1153384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EF</w:t>
      </w:r>
      <w:r>
        <w:rPr>
          <w:rFonts w:ascii="Times New Roman" w:hAnsi="Times New Roman" w:cs="Times New Roman"/>
          <w:sz w:val="28"/>
          <w:szCs w:val="28"/>
          <w:vertAlign w:val="subscript"/>
        </w:rPr>
        <w:t>Green Power and Green Certificates</w:t>
      </w:r>
      <w:r>
        <w:rPr>
          <w:rFonts w:ascii="Times New Roman" w:hAnsi="Times New Roman" w:cs="Times New Roman"/>
          <w:sz w:val="28"/>
          <w:szCs w:val="28"/>
        </w:rPr>
        <w:t>is the emission factor for green power and green certificates, calculated as 0;</w:t>
      </w:r>
    </w:p>
    <w:p w14:paraId="40A30D28"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4.3.3.3 Scope 3 Quantification Method</w:t>
      </w:r>
    </w:p>
    <w:p w14:paraId="4A3C90B2" w14:textId="77777777" w:rsidR="002E68E2" w:rsidRDefault="00000000">
      <w:pPr>
        <w:spacing w:after="0" w:line="360" w:lineRule="auto"/>
        <w:jc w:val="both"/>
        <w:rPr>
          <w:rFonts w:ascii="Times New Roman" w:hAnsi="Times New Roman" w:cs="Times New Roman"/>
          <w:color w:val="000000" w:themeColor="text1"/>
          <w:kern w:val="0"/>
          <w:sz w:val="24"/>
          <w:szCs w:val="24"/>
          <w:lang w:bidi="ar"/>
        </w:rPr>
      </w:pPr>
      <w:r>
        <w:rPr>
          <w:rFonts w:ascii="Times New Roman" w:hAnsi="Times New Roman" w:cs="Times New Roman"/>
          <w:b/>
          <w:bCs/>
          <w:color w:val="000000" w:themeColor="text1"/>
          <w:kern w:val="0"/>
          <w:sz w:val="28"/>
          <w:szCs w:val="28"/>
          <w:lang w:bidi="ar"/>
        </w:rPr>
        <w:t xml:space="preserve"> (1) Purchased Goods and Services </w:t>
      </w:r>
    </w:p>
    <w:p w14:paraId="1087DC5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Depending on the availability of data provided by suppliers and emission factors, the following calculation methods are used:</w:t>
      </w:r>
    </w:p>
    <w:p w14:paraId="471D1A73" w14:textId="77777777" w:rsidR="002E68E2" w:rsidRDefault="00000000">
      <w:pPr>
        <w:spacing w:after="0" w:line="360" w:lineRule="auto"/>
        <w:ind w:firstLineChars="200" w:firstLine="560"/>
        <w:jc w:val="both"/>
        <w:rPr>
          <w:rFonts w:ascii="Times New Roman" w:hAnsi="Times New Roman" w:cs="Times New Roman"/>
          <w:b/>
          <w:bCs/>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Method</w:t>
      </w:r>
      <w:r>
        <w:rPr>
          <w:rFonts w:ascii="Times New Roman" w:hAnsi="Times New Roman" w:cs="Times New Roman" w:hint="eastAsia"/>
          <w:color w:val="000000" w:themeColor="text1"/>
          <w:kern w:val="0"/>
          <w:sz w:val="28"/>
          <w:szCs w:val="28"/>
          <w:lang w:bidi="ar"/>
        </w:rPr>
        <w:t xml:space="preserve"> 1</w:t>
      </w:r>
      <w:r>
        <w:rPr>
          <w:rFonts w:ascii="Times New Roman" w:hAnsi="Times New Roman" w:cs="Times New Roman"/>
          <w:color w:val="000000" w:themeColor="text1"/>
          <w:kern w:val="0"/>
          <w:sz w:val="28"/>
          <w:szCs w:val="28"/>
          <w:lang w:bidi="ar"/>
        </w:rPr>
        <w:t>: Average Data Method</w:t>
      </w:r>
    </w:p>
    <w:p w14:paraId="428C78A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 1</w:t>
      </w:r>
      <w:r>
        <w:rPr>
          <w:rFonts w:ascii="Times New Roman" w:hAnsi="Times New Roman" w:cs="Times New Roman"/>
          <w:color w:val="000000" w:themeColor="text1"/>
          <w:kern w:val="0"/>
          <w:sz w:val="28"/>
          <w:szCs w:val="28"/>
          <w:lang w:bidi="ar"/>
        </w:rPr>
        <w:t>: Emissions = ∑(AD × EF)</w:t>
      </w:r>
    </w:p>
    <w:p w14:paraId="21FCA3F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procurement volume of various commodities in 2025, </w:t>
      </w:r>
      <w:r>
        <w:rPr>
          <w:rFonts w:ascii="Times New Roman" w:hAnsi="Times New Roman" w:cs="Times New Roman"/>
          <w:color w:val="000000" w:themeColor="text1"/>
          <w:sz w:val="28"/>
          <w:szCs w:val="28"/>
        </w:rPr>
        <w:t>categorized</w:t>
      </w:r>
      <w:r>
        <w:rPr>
          <w:rFonts w:ascii="Times New Roman" w:hAnsi="Times New Roman" w:cs="Times New Roman"/>
          <w:color w:val="000000" w:themeColor="text1"/>
          <w:kern w:val="0"/>
          <w:sz w:val="28"/>
          <w:szCs w:val="28"/>
          <w:lang w:bidi="ar"/>
        </w:rPr>
        <w:t xml:space="preserve"> by </w:t>
      </w:r>
      <w:r>
        <w:rPr>
          <w:rFonts w:ascii="Times New Roman" w:hAnsi="Times New Roman" w:cs="Times New Roman"/>
          <w:color w:val="000000" w:themeColor="text1"/>
          <w:sz w:val="28"/>
          <w:szCs w:val="28"/>
        </w:rPr>
        <w:t xml:space="preserve">unit </w:t>
      </w:r>
      <w:r>
        <w:rPr>
          <w:rFonts w:ascii="Times New Roman" w:hAnsi="Times New Roman" w:cs="Times New Roman"/>
          <w:color w:val="000000" w:themeColor="text1"/>
          <w:sz w:val="28"/>
          <w:szCs w:val="28"/>
          <w:vertAlign w:val="superscript"/>
        </w:rPr>
        <w:t>(e.g., m²</w:t>
      </w:r>
      <w:r>
        <w:rPr>
          <w:rFonts w:ascii="Times New Roman" w:hAnsi="Times New Roman" w:cs="Times New Roman"/>
          <w:color w:val="000000" w:themeColor="text1"/>
          <w:sz w:val="28"/>
          <w:szCs w:val="28"/>
        </w:rPr>
        <w:t>, PC, kg, pieces, etc.);</w:t>
      </w:r>
    </w:p>
    <w:p w14:paraId="7429F3CB"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Utilizes emission factors from databases, including the "2006 IPCC Guidelines for National Greenhouse Gas Inventories," Ecoinvent, and the "China Product Life Cycle Greenhouse Gas Emission Factor Database," </w:t>
      </w:r>
      <w:r>
        <w:rPr>
          <w:rFonts w:ascii="Times New Roman" w:hAnsi="Times New Roman" w:cs="Times New Roman"/>
          <w:color w:val="000000" w:themeColor="text1"/>
          <w:sz w:val="28"/>
          <w:szCs w:val="28"/>
        </w:rPr>
        <w:t>with units such as</w:t>
      </w:r>
      <w:r>
        <w:rPr>
          <w:rFonts w:ascii="Times New Roman" w:hAnsi="Times New Roman" w:cs="Times New Roman"/>
          <w:color w:val="000000" w:themeColor="text1"/>
          <w:sz w:val="28"/>
          <w:szCs w:val="28"/>
          <w:vertAlign w:val="superscript"/>
        </w:rPr>
        <w:t>kgCO₂e/m²</w:t>
      </w:r>
      <w:r>
        <w:rPr>
          <w:rFonts w:ascii="Times New Roman" w:hAnsi="Times New Roman" w:cs="Times New Roman"/>
          <w:color w:val="000000" w:themeColor="text1"/>
          <w:sz w:val="28"/>
          <w:szCs w:val="28"/>
        </w:rPr>
        <w:t>, kgCO₂e/PC, kgCO₂e/kg, and kgCO₂e/piece.</w:t>
      </w:r>
    </w:p>
    <w:p w14:paraId="087AA92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2</w:t>
      </w:r>
      <w:r>
        <w:rPr>
          <w:rFonts w:ascii="Times New Roman" w:hAnsi="Times New Roman" w:cs="Times New Roman"/>
          <w:color w:val="000000" w:themeColor="text1"/>
          <w:kern w:val="0"/>
          <w:sz w:val="28"/>
          <w:szCs w:val="28"/>
          <w:lang w:bidi="ar"/>
        </w:rPr>
        <w:t>: Monetary Method</w:t>
      </w:r>
    </w:p>
    <w:p w14:paraId="64B756E4"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 2</w:t>
      </w:r>
      <w:r>
        <w:rPr>
          <w:rFonts w:ascii="Times New Roman" w:hAnsi="Times New Roman" w:cs="Times New Roman"/>
          <w:color w:val="000000" w:themeColor="text1"/>
          <w:kern w:val="0"/>
          <w:sz w:val="28"/>
          <w:szCs w:val="28"/>
          <w:lang w:bidi="ar"/>
        </w:rPr>
        <w:t>: Emissions = ∑(AD × EF)</w:t>
      </w:r>
    </w:p>
    <w:p w14:paraId="688D44FD"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amount spent on purchasing various goods or services in 2025, in units of 10,000 RMB;</w:t>
      </w:r>
    </w:p>
    <w:p w14:paraId="0E9C87CA" w14:textId="77777777" w:rsidR="002E68E2" w:rsidRDefault="00000000">
      <w:pPr>
        <w:pStyle w:val="af5"/>
        <w:spacing w:before="0" w:beforeAutospacing="0" w:after="0" w:afterAutospacing="0" w:line="36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lang w:eastAsia="zh-CN" w:bidi="ar"/>
        </w:rPr>
        <w:t xml:space="preserve"> EF is the emission factor, using the </w:t>
      </w:r>
      <w:r>
        <w:rPr>
          <w:rFonts w:ascii="Times New Roman" w:eastAsia="宋体" w:hAnsi="Times New Roman" w:cs="Times New Roman" w:hint="eastAsia"/>
          <w:color w:val="000000" w:themeColor="text1"/>
          <w:sz w:val="28"/>
          <w:szCs w:val="28"/>
          <w:lang w:eastAsia="zh-CN" w:bidi="ar"/>
        </w:rPr>
        <w:t xml:space="preserve">corresponding industry </w:t>
      </w:r>
      <w:r>
        <w:rPr>
          <w:rFonts w:ascii="Times New Roman" w:eastAsia="宋体" w:hAnsi="Times New Roman" w:cs="Times New Roman"/>
          <w:color w:val="000000" w:themeColor="text1"/>
          <w:sz w:val="28"/>
          <w:szCs w:val="28"/>
          <w:lang w:eastAsia="zh-CN" w:bidi="ar"/>
        </w:rPr>
        <w:t xml:space="preserve">emission factors from </w:t>
      </w:r>
      <w:r>
        <w:rPr>
          <w:rFonts w:ascii="Times New Roman" w:eastAsia="宋体" w:hAnsi="Times New Roman" w:cs="Times New Roman" w:hint="eastAsia"/>
          <w:color w:val="000000" w:themeColor="text1"/>
          <w:sz w:val="28"/>
          <w:szCs w:val="28"/>
          <w:lang w:eastAsia="zh-CN" w:bidi="ar"/>
        </w:rPr>
        <w:t>USEEIO</w:t>
      </w:r>
      <w:r>
        <w:rPr>
          <w:rFonts w:ascii="Times New Roman" w:eastAsia="宋体" w:hAnsi="Times New Roman" w:cs="Times New Roman"/>
          <w:color w:val="000000" w:themeColor="text1"/>
          <w:sz w:val="28"/>
          <w:szCs w:val="28"/>
          <w:lang w:eastAsia="zh-CN" w:bidi="ar"/>
        </w:rPr>
        <w:t>.</w:t>
      </w:r>
    </w:p>
    <w:p w14:paraId="2611F6BF" w14:textId="77777777" w:rsidR="002E68E2" w:rsidRDefault="00000000">
      <w:pPr>
        <w:spacing w:after="0" w:line="360" w:lineRule="auto"/>
        <w:jc w:val="both"/>
        <w:rPr>
          <w:rFonts w:ascii="Times New Roman" w:hAnsi="Times New Roman" w:cs="Times New Roman"/>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(2) Capital Goods </w:t>
      </w:r>
    </w:p>
    <w:p w14:paraId="1A33D73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Method: Expenditure Approach</w:t>
      </w:r>
    </w:p>
    <w:p w14:paraId="51D49DBE"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Emissions = ∑(AD × EF)</w:t>
      </w:r>
    </w:p>
    <w:p w14:paraId="64B45B69"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amount spent on purchasing capital goods in 2025, in units of 10,000 RMB; </w:t>
      </w:r>
    </w:p>
    <w:p w14:paraId="7623BFBB" w14:textId="77777777" w:rsidR="002E68E2" w:rsidRDefault="00000000">
      <w:pPr>
        <w:pStyle w:val="af5"/>
        <w:spacing w:before="0" w:beforeAutospacing="0" w:after="0" w:afterAutospacing="0" w:line="360" w:lineRule="auto"/>
        <w:ind w:firstLineChars="200" w:firstLine="560"/>
        <w:rPr>
          <w:rFonts w:ascii="Times New Roman" w:eastAsia="宋体" w:hAnsi="Times New Roman" w:cs="Times New Roman"/>
          <w:color w:val="000000" w:themeColor="text1"/>
          <w:sz w:val="28"/>
          <w:szCs w:val="28"/>
          <w:lang w:eastAsia="zh-CN" w:bidi="ar"/>
        </w:rPr>
      </w:pPr>
      <w:r>
        <w:rPr>
          <w:rFonts w:ascii="Times New Roman" w:eastAsia="宋体" w:hAnsi="Times New Roman" w:cs="Times New Roman"/>
          <w:color w:val="000000" w:themeColor="text1"/>
          <w:sz w:val="28"/>
          <w:szCs w:val="28"/>
          <w:lang w:eastAsia="zh-CN" w:bidi="ar"/>
        </w:rPr>
        <w:lastRenderedPageBreak/>
        <w:t xml:space="preserve"> EF is the emission factor, </w:t>
      </w:r>
      <w:r>
        <w:rPr>
          <w:rFonts w:ascii="Times New Roman" w:eastAsia="宋体" w:hAnsi="Times New Roman" w:cs="Times New Roman" w:hint="eastAsia"/>
          <w:color w:val="000000" w:themeColor="text1"/>
          <w:sz w:val="28"/>
          <w:szCs w:val="28"/>
          <w:lang w:eastAsia="zh-CN" w:bidi="ar"/>
        </w:rPr>
        <w:t xml:space="preserve">using </w:t>
      </w:r>
      <w:r>
        <w:rPr>
          <w:rFonts w:ascii="Times New Roman" w:eastAsia="宋体" w:hAnsi="Times New Roman" w:cs="Times New Roman"/>
          <w:color w:val="000000" w:themeColor="text1"/>
          <w:sz w:val="28"/>
          <w:szCs w:val="28"/>
          <w:lang w:eastAsia="zh-CN" w:bidi="ar"/>
        </w:rPr>
        <w:t>the corresponding industry emission factor from the</w:t>
      </w:r>
      <w:r>
        <w:rPr>
          <w:rFonts w:ascii="Times New Roman" w:eastAsia="宋体" w:hAnsi="Times New Roman" w:cs="Times New Roman" w:hint="eastAsia"/>
          <w:color w:val="000000" w:themeColor="text1"/>
          <w:sz w:val="28"/>
          <w:szCs w:val="28"/>
          <w:lang w:eastAsia="zh-CN" w:bidi="ar"/>
        </w:rPr>
        <w:t xml:space="preserve"> 2018 CEEIO</w:t>
      </w:r>
      <w:r>
        <w:rPr>
          <w:rFonts w:ascii="Times New Roman" w:eastAsia="宋体" w:hAnsi="Times New Roman" w:cs="Times New Roman"/>
          <w:color w:val="000000" w:themeColor="text1"/>
          <w:sz w:val="28"/>
          <w:szCs w:val="28"/>
          <w:lang w:eastAsia="zh-CN" w:bidi="ar"/>
        </w:rPr>
        <w:t>.</w:t>
      </w:r>
    </w:p>
    <w:p w14:paraId="547F5B0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and accounting effort.</w:t>
      </w:r>
    </w:p>
    <w:p w14:paraId="34D4CDC7" w14:textId="77777777" w:rsidR="002E68E2" w:rsidRDefault="00000000">
      <w:pPr>
        <w:spacing w:after="0" w:line="360" w:lineRule="auto"/>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(3) Fuel and Energy-Related Activities </w:t>
      </w:r>
    </w:p>
    <w:p w14:paraId="62E70CC7"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formula: Emissions = ∑(AD × EF)</w:t>
      </w:r>
    </w:p>
    <w:p w14:paraId="54E2250E"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consumption of fossil fuels, electricity, and heat in 2025; </w:t>
      </w:r>
    </w:p>
    <w:p w14:paraId="02B4601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represents the emission factor, using the WTT and T&amp;D factors for fuel, electricity, and heat from the UK Government’s GHG Conversion Factors for Company Reporting.</w:t>
      </w:r>
    </w:p>
    <w:p w14:paraId="5CD7B35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p>
    <w:p w14:paraId="5A08E288" w14:textId="77777777" w:rsidR="002E68E2" w:rsidRDefault="00000000">
      <w:pPr>
        <w:spacing w:after="0" w:line="360" w:lineRule="auto"/>
        <w:jc w:val="both"/>
        <w:rPr>
          <w:rFonts w:ascii="Times New Roman" w:hAnsi="Times New Roman" w:cs="Times New Roman"/>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(4) Upstream Transportation and Distribution </w:t>
      </w:r>
    </w:p>
    <w:p w14:paraId="21E773E5"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4755CEA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1: Emissions = ∑(Q × L × EF)</w:t>
      </w:r>
    </w:p>
    <w:p w14:paraId="41E62B9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Q represents the weight </w:t>
      </w:r>
      <w:r>
        <w:rPr>
          <w:rFonts w:ascii="Times New Roman" w:hAnsi="Times New Roman" w:cs="Times New Roman" w:hint="eastAsia"/>
          <w:color w:val="000000" w:themeColor="text1"/>
          <w:kern w:val="0"/>
          <w:sz w:val="28"/>
          <w:szCs w:val="28"/>
          <w:lang w:bidi="ar"/>
        </w:rPr>
        <w:t>of goods transported upstream</w:t>
      </w:r>
      <w:r>
        <w:rPr>
          <w:rFonts w:ascii="Times New Roman" w:hAnsi="Times New Roman" w:cs="Times New Roman"/>
          <w:color w:val="000000" w:themeColor="text1"/>
          <w:kern w:val="0"/>
          <w:sz w:val="28"/>
          <w:szCs w:val="28"/>
          <w:lang w:bidi="ar"/>
        </w:rPr>
        <w:t>, in tons;</w:t>
      </w:r>
    </w:p>
    <w:p w14:paraId="362440C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L </w:t>
      </w:r>
      <w:r>
        <w:rPr>
          <w:rFonts w:ascii="Times New Roman" w:hAnsi="Times New Roman" w:cs="Times New Roman" w:hint="eastAsia"/>
          <w:color w:val="000000" w:themeColor="text1"/>
          <w:kern w:val="0"/>
          <w:sz w:val="28"/>
          <w:szCs w:val="28"/>
          <w:lang w:bidi="ar"/>
        </w:rPr>
        <w:t xml:space="preserve">is the distance </w:t>
      </w:r>
      <w:r>
        <w:rPr>
          <w:rFonts w:ascii="Times New Roman" w:hAnsi="Times New Roman" w:cs="Times New Roman"/>
          <w:color w:val="000000" w:themeColor="text1"/>
          <w:kern w:val="0"/>
          <w:sz w:val="28"/>
          <w:szCs w:val="28"/>
          <w:lang w:bidi="ar"/>
        </w:rPr>
        <w:t>traveled, in km;</w:t>
      </w:r>
    </w:p>
    <w:p w14:paraId="27D5560D"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is the emission factor, using the UK Government GHG Conversion Factors for Company Reporting </w:t>
      </w:r>
      <w:r>
        <w:rPr>
          <w:rFonts w:ascii="Times New Roman" w:hAnsi="Times New Roman" w:cs="Times New Roman" w:hint="eastAsia"/>
          <w:color w:val="000000" w:themeColor="text1"/>
          <w:kern w:val="0"/>
          <w:sz w:val="28"/>
          <w:szCs w:val="28"/>
          <w:lang w:bidi="ar"/>
        </w:rPr>
        <w:t xml:space="preserve">and ecoinvent 3.12 </w:t>
      </w:r>
      <w:r>
        <w:rPr>
          <w:rFonts w:ascii="Times New Roman" w:hAnsi="Times New Roman" w:cs="Times New Roman"/>
          <w:color w:val="000000" w:themeColor="text1"/>
          <w:kern w:val="0"/>
          <w:sz w:val="28"/>
          <w:szCs w:val="28"/>
          <w:lang w:bidi="ar"/>
        </w:rPr>
        <w:t>cut-off emission factors.</w:t>
      </w:r>
    </w:p>
    <w:p w14:paraId="3E530910"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p>
    <w:p w14:paraId="128F8A93" w14:textId="77777777" w:rsidR="002E68E2" w:rsidRDefault="00000000">
      <w:pPr>
        <w:spacing w:after="0" w:line="360" w:lineRule="auto"/>
        <w:jc w:val="both"/>
        <w:rPr>
          <w:rFonts w:ascii="Times New Roman" w:hAnsi="Times New Roman" w:cs="Times New Roman"/>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(5) Waste generated during operations </w:t>
      </w:r>
    </w:p>
    <w:p w14:paraId="27C3E22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Specific waste category method</w:t>
      </w:r>
    </w:p>
    <w:p w14:paraId="20C6AC5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formula: Emissions = ∑(W × EF)</w:t>
      </w:r>
    </w:p>
    <w:p w14:paraId="00CF0AE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W </w:t>
      </w:r>
      <w:r>
        <w:rPr>
          <w:rFonts w:ascii="Times New Roman" w:hAnsi="Times New Roman" w:cs="Times New Roman" w:hint="eastAsia"/>
          <w:color w:val="000000" w:themeColor="text1"/>
          <w:kern w:val="0"/>
          <w:sz w:val="28"/>
          <w:szCs w:val="28"/>
          <w:lang w:bidi="ar"/>
        </w:rPr>
        <w:t xml:space="preserve">represents </w:t>
      </w:r>
      <w:r>
        <w:rPr>
          <w:rFonts w:ascii="Times New Roman" w:hAnsi="Times New Roman" w:cs="Times New Roman"/>
          <w:color w:val="000000" w:themeColor="text1"/>
          <w:kern w:val="0"/>
          <w:sz w:val="28"/>
          <w:szCs w:val="28"/>
          <w:lang w:bidi="ar"/>
        </w:rPr>
        <w:t xml:space="preserve">the weight of </w:t>
      </w:r>
      <w:r>
        <w:rPr>
          <w:rFonts w:ascii="Times New Roman" w:hAnsi="Times New Roman" w:cs="Times New Roman" w:hint="eastAsia"/>
          <w:color w:val="000000" w:themeColor="text1"/>
          <w:kern w:val="0"/>
          <w:sz w:val="28"/>
          <w:szCs w:val="28"/>
          <w:lang w:bidi="ar"/>
        </w:rPr>
        <w:t xml:space="preserve">each </w:t>
      </w:r>
      <w:r>
        <w:rPr>
          <w:rFonts w:ascii="Times New Roman" w:hAnsi="Times New Roman" w:cs="Times New Roman"/>
          <w:color w:val="000000" w:themeColor="text1"/>
          <w:kern w:val="0"/>
          <w:sz w:val="28"/>
          <w:szCs w:val="28"/>
          <w:lang w:bidi="ar"/>
        </w:rPr>
        <w:t xml:space="preserve">waste </w:t>
      </w:r>
      <w:r>
        <w:rPr>
          <w:rFonts w:ascii="Times New Roman" w:hAnsi="Times New Roman" w:cs="Times New Roman" w:hint="eastAsia"/>
          <w:color w:val="000000" w:themeColor="text1"/>
          <w:kern w:val="0"/>
          <w:sz w:val="28"/>
          <w:szCs w:val="28"/>
          <w:lang w:bidi="ar"/>
        </w:rPr>
        <w:t>category</w:t>
      </w:r>
      <w:r>
        <w:rPr>
          <w:rFonts w:ascii="Times New Roman" w:hAnsi="Times New Roman" w:cs="Times New Roman"/>
          <w:color w:val="000000" w:themeColor="text1"/>
          <w:kern w:val="0"/>
          <w:sz w:val="28"/>
          <w:szCs w:val="28"/>
          <w:lang w:bidi="ar"/>
        </w:rPr>
        <w:t>, in tons</w:t>
      </w:r>
      <w:r>
        <w:rPr>
          <w:rFonts w:ascii="Times New Roman" w:hAnsi="Times New Roman" w:cs="Times New Roman" w:hint="eastAsia"/>
          <w:color w:val="000000" w:themeColor="text1"/>
          <w:kern w:val="0"/>
          <w:sz w:val="28"/>
          <w:szCs w:val="28"/>
          <w:lang w:bidi="ar"/>
        </w:rPr>
        <w:t xml:space="preserve">; </w:t>
      </w:r>
    </w:p>
    <w:p w14:paraId="21E14231"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lastRenderedPageBreak/>
        <w:t xml:space="preserve"> EF represents </w:t>
      </w:r>
      <w:r>
        <w:rPr>
          <w:rFonts w:ascii="Times New Roman" w:hAnsi="Times New Roman" w:cs="Times New Roman"/>
          <w:color w:val="000000" w:themeColor="text1"/>
          <w:kern w:val="0"/>
          <w:sz w:val="28"/>
          <w:szCs w:val="28"/>
          <w:lang w:bidi="ar"/>
        </w:rPr>
        <w:t>the</w:t>
      </w:r>
      <w:r>
        <w:rPr>
          <w:rFonts w:ascii="Times New Roman" w:hAnsi="Times New Roman" w:cs="Times New Roman" w:hint="eastAsia"/>
          <w:color w:val="000000" w:themeColor="text1"/>
          <w:kern w:val="0"/>
          <w:sz w:val="28"/>
          <w:szCs w:val="28"/>
          <w:lang w:bidi="ar"/>
        </w:rPr>
        <w:t xml:space="preserve"> emission </w:t>
      </w:r>
      <w:r>
        <w:rPr>
          <w:rFonts w:ascii="Times New Roman" w:hAnsi="Times New Roman" w:cs="Times New Roman"/>
          <w:color w:val="000000" w:themeColor="text1"/>
          <w:kern w:val="0"/>
          <w:sz w:val="28"/>
          <w:szCs w:val="28"/>
          <w:lang w:bidi="ar"/>
        </w:rPr>
        <w:t>factor</w:t>
      </w:r>
      <w:r>
        <w:rPr>
          <w:rFonts w:ascii="Times New Roman" w:hAnsi="Times New Roman" w:cs="Times New Roman" w:hint="eastAsia"/>
          <w:color w:val="000000" w:themeColor="text1"/>
          <w:kern w:val="0"/>
          <w:sz w:val="28"/>
          <w:szCs w:val="28"/>
          <w:lang w:bidi="ar"/>
        </w:rPr>
        <w:t xml:space="preserve">, </w:t>
      </w:r>
      <w:r>
        <w:rPr>
          <w:rFonts w:ascii="Times New Roman" w:hAnsi="Times New Roman" w:cs="Times New Roman"/>
          <w:color w:val="000000" w:themeColor="text1"/>
          <w:kern w:val="0"/>
          <w:sz w:val="28"/>
          <w:szCs w:val="28"/>
          <w:lang w:bidi="ar"/>
        </w:rPr>
        <w:t>using the UK Government GHG Conversion Factors for Company Reporting.</w:t>
      </w:r>
    </w:p>
    <w:p w14:paraId="59B50D3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p>
    <w:p w14:paraId="11C90443" w14:textId="77777777" w:rsidR="002E68E2" w:rsidRDefault="00000000">
      <w:pPr>
        <w:spacing w:after="0" w:line="360" w:lineRule="auto"/>
        <w:jc w:val="both"/>
        <w:rPr>
          <w:rFonts w:ascii="Times New Roman" w:hAnsi="Times New Roman" w:cs="Times New Roman"/>
          <w:b/>
          <w:bCs/>
          <w:color w:val="000000" w:themeColor="text1"/>
          <w:kern w:val="0"/>
          <w:sz w:val="28"/>
          <w:szCs w:val="28"/>
          <w:lang w:bidi="ar"/>
        </w:rPr>
      </w:pPr>
      <w:r>
        <w:rPr>
          <w:rFonts w:ascii="Times New Roman" w:hAnsi="Times New Roman" w:cs="Times New Roman" w:hint="eastAsia"/>
          <w:b/>
          <w:bCs/>
          <w:color w:val="000000" w:themeColor="text1"/>
          <w:kern w:val="0"/>
          <w:sz w:val="28"/>
          <w:szCs w:val="28"/>
          <w:lang w:bidi="ar"/>
        </w:rPr>
        <w:t xml:space="preserve"> (6) </w:t>
      </w:r>
      <w:r>
        <w:rPr>
          <w:rFonts w:ascii="Times New Roman" w:hAnsi="Times New Roman" w:cs="Times New Roman"/>
          <w:b/>
          <w:bCs/>
          <w:color w:val="000000" w:themeColor="text1"/>
          <w:kern w:val="0"/>
          <w:sz w:val="28"/>
          <w:szCs w:val="28"/>
          <w:lang w:bidi="ar"/>
        </w:rPr>
        <w:t xml:space="preserve">Business Travel </w:t>
      </w:r>
    </w:p>
    <w:p w14:paraId="67B53124"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Business Travel:</w:t>
      </w:r>
    </w:p>
    <w:p w14:paraId="2D2B11C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68553DF4"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Formula</w:t>
      </w:r>
      <w:r>
        <w:rPr>
          <w:rFonts w:ascii="Times New Roman" w:hAnsi="Times New Roman" w:cs="Times New Roman"/>
          <w:color w:val="000000" w:themeColor="text1"/>
          <w:kern w:val="0"/>
          <w:sz w:val="28"/>
          <w:szCs w:val="28"/>
          <w:lang w:bidi="ar"/>
        </w:rPr>
        <w:t>: Emissions = ∑(AD × EF</w:t>
      </w:r>
      <w:r>
        <w:rPr>
          <w:rFonts w:ascii="Times New Roman" w:hAnsi="Times New Roman" w:cs="Times New Roman" w:hint="eastAsia"/>
          <w:color w:val="000000" w:themeColor="text1"/>
          <w:kern w:val="0"/>
          <w:sz w:val="28"/>
          <w:szCs w:val="28"/>
          <w:lang w:bidi="ar"/>
        </w:rPr>
        <w:t>)</w:t>
      </w:r>
    </w:p>
    <w:p w14:paraId="2936AAD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w:t>
      </w:r>
      <w:r>
        <w:rPr>
          <w:rFonts w:ascii="Times New Roman" w:hAnsi="Times New Roman" w:cs="Times New Roman" w:hint="eastAsia"/>
          <w:color w:val="000000" w:themeColor="text1"/>
          <w:kern w:val="0"/>
          <w:sz w:val="28"/>
          <w:szCs w:val="28"/>
          <w:lang w:bidi="ar"/>
        </w:rPr>
        <w:t xml:space="preserve">represents the total annual commuting </w:t>
      </w:r>
      <w:r>
        <w:rPr>
          <w:rFonts w:ascii="Times New Roman" w:hAnsi="Times New Roman" w:cs="Times New Roman"/>
          <w:color w:val="000000" w:themeColor="text1"/>
          <w:kern w:val="0"/>
          <w:sz w:val="28"/>
          <w:szCs w:val="28"/>
          <w:lang w:bidi="ar"/>
        </w:rPr>
        <w:t>distance</w:t>
      </w:r>
      <w:r>
        <w:rPr>
          <w:rFonts w:ascii="Times New Roman" w:hAnsi="Times New Roman" w:cs="Times New Roman" w:hint="eastAsia"/>
          <w:color w:val="000000" w:themeColor="text1"/>
          <w:kern w:val="0"/>
          <w:sz w:val="28"/>
          <w:szCs w:val="28"/>
          <w:lang w:bidi="ar"/>
        </w:rPr>
        <w:t xml:space="preserve"> aggregated by mode of transportation</w:t>
      </w:r>
      <w:r>
        <w:rPr>
          <w:rFonts w:ascii="Times New Roman" w:hAnsi="Times New Roman" w:cs="Times New Roman"/>
          <w:color w:val="000000" w:themeColor="text1"/>
          <w:kern w:val="0"/>
          <w:sz w:val="28"/>
          <w:szCs w:val="28"/>
          <w:lang w:bidi="ar"/>
        </w:rPr>
        <w:t xml:space="preserve">, </w:t>
      </w:r>
      <w:r>
        <w:rPr>
          <w:rFonts w:ascii="Times New Roman" w:hAnsi="Times New Roman" w:cs="Times New Roman" w:hint="eastAsia"/>
          <w:color w:val="000000" w:themeColor="text1"/>
          <w:kern w:val="0"/>
          <w:sz w:val="28"/>
          <w:szCs w:val="28"/>
          <w:lang w:bidi="ar"/>
        </w:rPr>
        <w:t xml:space="preserve">in kilometers; </w:t>
      </w:r>
    </w:p>
    <w:p w14:paraId="31457F0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EF represents the emission factor, using </w:t>
      </w:r>
      <w:r>
        <w:rPr>
          <w:rFonts w:ascii="Times New Roman" w:hAnsi="Times New Roman" w:cs="Times New Roman"/>
          <w:color w:val="000000" w:themeColor="text1"/>
          <w:kern w:val="0"/>
          <w:sz w:val="28"/>
          <w:szCs w:val="28"/>
          <w:lang w:bidi="ar"/>
        </w:rPr>
        <w:t xml:space="preserve">emission factors from </w:t>
      </w:r>
      <w:r>
        <w:rPr>
          <w:rFonts w:ascii="Times New Roman" w:hAnsi="Times New Roman" w:cs="Times New Roman" w:hint="eastAsia"/>
          <w:color w:val="000000" w:themeColor="text1"/>
          <w:kern w:val="0"/>
          <w:sz w:val="28"/>
          <w:szCs w:val="28"/>
          <w:lang w:bidi="ar"/>
        </w:rPr>
        <w:t>the China Product Life Cycle Greenhouse Gas Emission Factor Database</w:t>
      </w:r>
      <w:r>
        <w:rPr>
          <w:rFonts w:ascii="Times New Roman" w:hAnsi="Times New Roman" w:cs="Times New Roman"/>
          <w:color w:val="000000" w:themeColor="text1"/>
          <w:kern w:val="0"/>
          <w:sz w:val="28"/>
          <w:szCs w:val="28"/>
          <w:lang w:bidi="ar"/>
        </w:rPr>
        <w:t>.</w:t>
      </w:r>
    </w:p>
    <w:p w14:paraId="52263556"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and calculation effort.</w:t>
      </w:r>
    </w:p>
    <w:p w14:paraId="1ED8F445"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Hotel Accommodations:</w:t>
      </w:r>
    </w:p>
    <w:p w14:paraId="041FAE3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Emission Factor Method</w:t>
      </w:r>
    </w:p>
    <w:p w14:paraId="4E6C5CA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w:t>
      </w:r>
      <w:r>
        <w:rPr>
          <w:rFonts w:ascii="Times New Roman" w:hAnsi="Times New Roman" w:cs="Times New Roman"/>
          <w:color w:val="000000" w:themeColor="text1"/>
          <w:kern w:val="0"/>
          <w:sz w:val="28"/>
          <w:szCs w:val="28"/>
          <w:lang w:bidi="ar"/>
        </w:rPr>
        <w:t xml:space="preserve">: Emissions = AD × EF </w:t>
      </w:r>
    </w:p>
    <w:p w14:paraId="2E2C8F7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w:t>
      </w:r>
      <w:r>
        <w:rPr>
          <w:rFonts w:ascii="Times New Roman" w:hAnsi="Times New Roman" w:cs="Times New Roman" w:hint="eastAsia"/>
          <w:color w:val="000000" w:themeColor="text1"/>
          <w:kern w:val="0"/>
          <w:sz w:val="28"/>
          <w:szCs w:val="28"/>
          <w:lang w:bidi="ar"/>
        </w:rPr>
        <w:t>represents the number of hotel guest nights</w:t>
      </w:r>
      <w:r>
        <w:rPr>
          <w:rFonts w:ascii="Times New Roman" w:hAnsi="Times New Roman" w:cs="Times New Roman"/>
          <w:color w:val="000000" w:themeColor="text1"/>
          <w:kern w:val="0"/>
          <w:sz w:val="28"/>
          <w:szCs w:val="28"/>
          <w:lang w:bidi="ar"/>
        </w:rPr>
        <w:t xml:space="preserve">, measured in </w:t>
      </w:r>
      <w:r>
        <w:rPr>
          <w:rFonts w:ascii="Times New Roman" w:hAnsi="Times New Roman" w:cs="Times New Roman" w:hint="eastAsia"/>
          <w:color w:val="000000" w:themeColor="text1"/>
          <w:kern w:val="0"/>
          <w:sz w:val="28"/>
          <w:szCs w:val="28"/>
          <w:lang w:bidi="ar"/>
        </w:rPr>
        <w:t xml:space="preserve">nights; </w:t>
      </w:r>
    </w:p>
    <w:p w14:paraId="7E87FB8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EF represents the emission factor, using </w:t>
      </w:r>
      <w:r>
        <w:rPr>
          <w:rFonts w:ascii="Times New Roman" w:hAnsi="Times New Roman" w:cs="Times New Roman"/>
          <w:color w:val="000000" w:themeColor="text1"/>
          <w:kern w:val="0"/>
          <w:sz w:val="28"/>
          <w:szCs w:val="28"/>
          <w:lang w:bidi="ar"/>
        </w:rPr>
        <w:t xml:space="preserve">emission factors from the </w:t>
      </w:r>
      <w:r>
        <w:rPr>
          <w:rFonts w:ascii="Times New Roman" w:hAnsi="Times New Roman" w:cs="Times New Roman" w:hint="eastAsia"/>
          <w:color w:val="000000" w:themeColor="text1"/>
          <w:kern w:val="0"/>
          <w:sz w:val="28"/>
          <w:szCs w:val="28"/>
          <w:lang w:bidi="ar"/>
        </w:rPr>
        <w:t>China Product Life Cycle Greenhouse Gas Emission Coefficient Database.</w:t>
      </w:r>
    </w:p>
    <w:p w14:paraId="41C85DB4"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and accounting effort.</w:t>
      </w:r>
    </w:p>
    <w:p w14:paraId="3EBF9423" w14:textId="77777777" w:rsidR="002E68E2" w:rsidRDefault="00000000">
      <w:pPr>
        <w:spacing w:after="0" w:line="360" w:lineRule="auto"/>
        <w:ind w:firstLineChars="200" w:firstLine="562"/>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(7) Employee Commuting </w:t>
      </w:r>
    </w:p>
    <w:p w14:paraId="56A2E31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41EE1A0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w:t>
      </w:r>
      <w:r>
        <w:rPr>
          <w:rFonts w:ascii="Times New Roman" w:hAnsi="Times New Roman" w:cs="Times New Roman"/>
          <w:color w:val="000000" w:themeColor="text1"/>
          <w:kern w:val="0"/>
          <w:sz w:val="28"/>
          <w:szCs w:val="28"/>
          <w:lang w:bidi="ar"/>
        </w:rPr>
        <w:t xml:space="preserve">: Emissions = ∑(AD × EF) </w:t>
      </w:r>
    </w:p>
    <w:p w14:paraId="66688AD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lastRenderedPageBreak/>
        <w:t xml:space="preserve"> AD represents </w:t>
      </w:r>
      <w:r>
        <w:rPr>
          <w:rFonts w:ascii="Times New Roman" w:hAnsi="Times New Roman" w:cs="Times New Roman"/>
          <w:color w:val="000000" w:themeColor="text1"/>
          <w:kern w:val="0"/>
          <w:sz w:val="28"/>
          <w:szCs w:val="28"/>
          <w:lang w:bidi="ar"/>
        </w:rPr>
        <w:t xml:space="preserve">the commuting distance traveled by employees using various modes of transportation; </w:t>
      </w:r>
      <w:r>
        <w:rPr>
          <w:rFonts w:ascii="Times New Roman" w:hAnsi="Times New Roman" w:cs="Times New Roman" w:hint="eastAsia"/>
          <w:color w:val="000000" w:themeColor="text1"/>
          <w:kern w:val="0"/>
          <w:sz w:val="28"/>
          <w:szCs w:val="28"/>
          <w:lang w:bidi="ar"/>
        </w:rPr>
        <w:t>the proportion of each mode is determined through a survey;</w:t>
      </w:r>
    </w:p>
    <w:p w14:paraId="53A3BC0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represents the emission factors for each mode of transportation, using the "Business travel" factors from the UK Government’s GHG Conversion Factors for Company Reporting </w:t>
      </w:r>
      <w:r>
        <w:rPr>
          <w:rFonts w:ascii="Times New Roman" w:hAnsi="Times New Roman" w:cs="Times New Roman" w:hint="eastAsia"/>
          <w:color w:val="000000" w:themeColor="text1"/>
          <w:kern w:val="0"/>
          <w:sz w:val="28"/>
          <w:szCs w:val="28"/>
          <w:lang w:bidi="ar"/>
        </w:rPr>
        <w:t>and emission factors from China</w:t>
      </w:r>
      <w:r>
        <w:rPr>
          <w:rFonts w:ascii="Times New Roman" w:hAnsi="Times New Roman" w:cs="Times New Roman" w:hint="eastAsia"/>
          <w:color w:val="000000" w:themeColor="text1"/>
          <w:kern w:val="0"/>
          <w:sz w:val="28"/>
          <w:szCs w:val="28"/>
          <w:lang w:bidi="ar"/>
        </w:rPr>
        <w:t>’</w:t>
      </w:r>
      <w:r>
        <w:rPr>
          <w:rFonts w:ascii="Times New Roman" w:hAnsi="Times New Roman" w:cs="Times New Roman" w:hint="eastAsia"/>
          <w:color w:val="000000" w:themeColor="text1"/>
          <w:kern w:val="0"/>
          <w:sz w:val="28"/>
          <w:szCs w:val="28"/>
          <w:lang w:bidi="ar"/>
        </w:rPr>
        <w:t>s Product Life Cycle GHG Emission Factor Database</w:t>
      </w:r>
      <w:r>
        <w:rPr>
          <w:rFonts w:ascii="Times New Roman" w:hAnsi="Times New Roman" w:cs="Times New Roman"/>
          <w:color w:val="000000" w:themeColor="text1"/>
          <w:kern w:val="0"/>
          <w:sz w:val="28"/>
          <w:szCs w:val="28"/>
          <w:lang w:bidi="ar"/>
        </w:rPr>
        <w:t>.</w:t>
      </w:r>
    </w:p>
    <w:p w14:paraId="4B70B1BB"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p>
    <w:p w14:paraId="3D5F2954" w14:textId="77777777" w:rsidR="002E68E2" w:rsidRDefault="00000000">
      <w:pPr>
        <w:spacing w:after="0" w:line="360" w:lineRule="auto"/>
        <w:ind w:firstLineChars="200" w:firstLine="562"/>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w:t>
      </w:r>
      <w:r>
        <w:rPr>
          <w:rFonts w:ascii="Times New Roman" w:hAnsi="Times New Roman" w:cs="Times New Roman" w:hint="eastAsia"/>
          <w:b/>
          <w:bCs/>
          <w:color w:val="000000" w:themeColor="text1"/>
          <w:kern w:val="0"/>
          <w:sz w:val="28"/>
          <w:szCs w:val="28"/>
          <w:lang w:bidi="ar"/>
        </w:rPr>
        <w:t>8</w:t>
      </w:r>
      <w:r>
        <w:rPr>
          <w:rFonts w:ascii="Times New Roman" w:hAnsi="Times New Roman" w:cs="Times New Roman"/>
          <w:b/>
          <w:bCs/>
          <w:color w:val="000000" w:themeColor="text1"/>
          <w:kern w:val="0"/>
          <w:sz w:val="28"/>
          <w:szCs w:val="28"/>
          <w:lang w:bidi="ar"/>
        </w:rPr>
        <w:t xml:space="preserve">) Downstream Transportation and Distribution </w:t>
      </w:r>
    </w:p>
    <w:p w14:paraId="06C13F8E"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3EAFDB5D"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1: Emissions = ∑(Q × L × EF)</w:t>
      </w:r>
    </w:p>
    <w:p w14:paraId="7B7F622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Q is the weight </w:t>
      </w:r>
      <w:r>
        <w:rPr>
          <w:rFonts w:ascii="Times New Roman" w:hAnsi="Times New Roman" w:cs="Times New Roman" w:hint="eastAsia"/>
          <w:color w:val="000000" w:themeColor="text1"/>
          <w:kern w:val="0"/>
          <w:sz w:val="28"/>
          <w:szCs w:val="28"/>
          <w:lang w:bidi="ar"/>
        </w:rPr>
        <w:t>of goods transported downstream</w:t>
      </w:r>
      <w:r>
        <w:rPr>
          <w:rFonts w:ascii="Times New Roman" w:hAnsi="Times New Roman" w:cs="Times New Roman"/>
          <w:color w:val="000000" w:themeColor="text1"/>
          <w:kern w:val="0"/>
          <w:sz w:val="28"/>
          <w:szCs w:val="28"/>
          <w:lang w:bidi="ar"/>
        </w:rPr>
        <w:t>, in tons (t);</w:t>
      </w:r>
    </w:p>
    <w:p w14:paraId="60E4D35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L </w:t>
      </w:r>
      <w:r>
        <w:rPr>
          <w:rFonts w:ascii="Times New Roman" w:hAnsi="Times New Roman" w:cs="Times New Roman" w:hint="eastAsia"/>
          <w:color w:val="000000" w:themeColor="text1"/>
          <w:kern w:val="0"/>
          <w:sz w:val="28"/>
          <w:szCs w:val="28"/>
          <w:lang w:bidi="ar"/>
        </w:rPr>
        <w:t xml:space="preserve">is the distance </w:t>
      </w:r>
      <w:r>
        <w:rPr>
          <w:rFonts w:ascii="Times New Roman" w:hAnsi="Times New Roman" w:cs="Times New Roman"/>
          <w:color w:val="000000" w:themeColor="text1"/>
          <w:kern w:val="0"/>
          <w:sz w:val="28"/>
          <w:szCs w:val="28"/>
          <w:lang w:bidi="ar"/>
        </w:rPr>
        <w:t>traveled, in km;</w:t>
      </w:r>
    </w:p>
    <w:p w14:paraId="458DCAB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is the emission factor, using the UK Government GHG Conversion Factors for Company Reporting </w:t>
      </w:r>
      <w:r>
        <w:rPr>
          <w:rFonts w:ascii="Times New Roman" w:hAnsi="Times New Roman" w:cs="Times New Roman" w:hint="eastAsia"/>
          <w:color w:val="000000" w:themeColor="text1"/>
          <w:kern w:val="0"/>
          <w:sz w:val="28"/>
          <w:szCs w:val="28"/>
          <w:lang w:bidi="ar"/>
        </w:rPr>
        <w:t xml:space="preserve">and ecoinvent 3.12 </w:t>
      </w:r>
      <w:r>
        <w:rPr>
          <w:rFonts w:ascii="Times New Roman" w:hAnsi="Times New Roman" w:cs="Times New Roman"/>
          <w:color w:val="000000" w:themeColor="text1"/>
          <w:kern w:val="0"/>
          <w:sz w:val="28"/>
          <w:szCs w:val="28"/>
          <w:lang w:bidi="ar"/>
        </w:rPr>
        <w:t>cut-off emission factors.</w:t>
      </w:r>
    </w:p>
    <w:p w14:paraId="6BA5A058"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p>
    <w:p w14:paraId="4C054B13" w14:textId="77777777" w:rsidR="002E68E2" w:rsidRDefault="00000000">
      <w:pPr>
        <w:spacing w:after="0" w:line="360" w:lineRule="auto"/>
        <w:ind w:firstLineChars="200" w:firstLine="562"/>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w:t>
      </w:r>
      <w:r>
        <w:rPr>
          <w:rFonts w:ascii="Times New Roman" w:hAnsi="Times New Roman" w:cs="Times New Roman" w:hint="eastAsia"/>
          <w:b/>
          <w:bCs/>
          <w:color w:val="000000" w:themeColor="text1"/>
          <w:kern w:val="0"/>
          <w:sz w:val="28"/>
          <w:szCs w:val="28"/>
          <w:lang w:bidi="ar"/>
        </w:rPr>
        <w:t>9</w:t>
      </w:r>
      <w:r>
        <w:rPr>
          <w:rFonts w:ascii="Times New Roman" w:hAnsi="Times New Roman" w:cs="Times New Roman"/>
          <w:b/>
          <w:bCs/>
          <w:color w:val="000000" w:themeColor="text1"/>
          <w:kern w:val="0"/>
          <w:sz w:val="28"/>
          <w:szCs w:val="28"/>
          <w:lang w:bidi="ar"/>
        </w:rPr>
        <w:t>) End-of-life treatment of sold products</w:t>
      </w:r>
    </w:p>
    <w:p w14:paraId="021E0288"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Specific data method</w:t>
      </w:r>
    </w:p>
    <w:p w14:paraId="5453BAB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Emissions = ∑(W</w:t>
      </w:r>
      <w:r>
        <w:rPr>
          <w:rFonts w:ascii="Times New Roman" w:hAnsi="Times New Roman" w:cs="Times New Roman" w:hint="eastAsia"/>
          <w:color w:val="000000" w:themeColor="text1"/>
          <w:kern w:val="0"/>
          <w:sz w:val="28"/>
          <w:szCs w:val="28"/>
          <w:vertAlign w:val="subscript"/>
          <w:lang w:bidi="ar"/>
        </w:rPr>
        <w:t>Product i</w:t>
      </w:r>
      <w:r>
        <w:rPr>
          <w:rFonts w:ascii="Times New Roman" w:hAnsi="Times New Roman" w:cs="Times New Roman"/>
          <w:color w:val="000000" w:themeColor="text1"/>
          <w:kern w:val="0"/>
          <w:sz w:val="28"/>
          <w:szCs w:val="28"/>
          <w:lang w:bidi="ar"/>
        </w:rPr>
        <w:t>× EF</w:t>
      </w:r>
      <w:r>
        <w:rPr>
          <w:rFonts w:ascii="Times New Roman" w:hAnsi="Times New Roman" w:cs="Times New Roman" w:hint="eastAsia"/>
          <w:color w:val="000000" w:themeColor="text1"/>
          <w:kern w:val="0"/>
          <w:sz w:val="28"/>
          <w:szCs w:val="28"/>
          <w:vertAlign w:val="subscript"/>
          <w:lang w:bidi="ar"/>
        </w:rPr>
        <w:t>End-of-Life i</w:t>
      </w:r>
      <w:r>
        <w:rPr>
          <w:rFonts w:ascii="Times New Roman" w:hAnsi="Times New Roman" w:cs="Times New Roman" w:hint="eastAsia"/>
          <w:color w:val="000000" w:themeColor="text1"/>
          <w:kern w:val="0"/>
          <w:sz w:val="28"/>
          <w:szCs w:val="28"/>
          <w:lang w:bidi="ar"/>
        </w:rPr>
        <w:t xml:space="preserve">) </w:t>
      </w:r>
      <w:r>
        <w:rPr>
          <w:rFonts w:ascii="Times New Roman" w:hAnsi="Times New Roman" w:cs="Times New Roman"/>
          <w:color w:val="000000" w:themeColor="text1"/>
          <w:kern w:val="0"/>
          <w:sz w:val="28"/>
          <w:szCs w:val="28"/>
          <w:lang w:bidi="ar"/>
        </w:rPr>
        <w:t>+ W</w:t>
      </w:r>
      <w:r>
        <w:rPr>
          <w:rFonts w:ascii="Times New Roman" w:hAnsi="Times New Roman" w:cs="Times New Roman" w:hint="eastAsia"/>
          <w:color w:val="000000" w:themeColor="text1"/>
          <w:kern w:val="0"/>
          <w:sz w:val="28"/>
          <w:szCs w:val="28"/>
          <w:vertAlign w:val="subscript"/>
          <w:lang w:bidi="ar"/>
        </w:rPr>
        <w:t>Packaging</w:t>
      </w:r>
      <w:r>
        <w:rPr>
          <w:rFonts w:ascii="Times New Roman" w:hAnsi="Times New Roman" w:cs="Times New Roman"/>
          <w:color w:val="000000" w:themeColor="text1"/>
          <w:kern w:val="0"/>
          <w:sz w:val="28"/>
          <w:szCs w:val="28"/>
          <w:lang w:bidi="ar"/>
        </w:rPr>
        <w:t>× EF</w:t>
      </w:r>
      <w:r>
        <w:rPr>
          <w:rFonts w:ascii="Times New Roman" w:hAnsi="Times New Roman" w:cs="Times New Roman" w:hint="eastAsia"/>
          <w:color w:val="000000" w:themeColor="text1"/>
          <w:kern w:val="0"/>
          <w:sz w:val="28"/>
          <w:szCs w:val="28"/>
          <w:vertAlign w:val="subscript"/>
          <w:lang w:bidi="ar"/>
        </w:rPr>
        <w:t>Paper</w:t>
      </w:r>
    </w:p>
    <w:p w14:paraId="2B2F4891"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W</w:t>
      </w:r>
      <w:r>
        <w:rPr>
          <w:rFonts w:ascii="Times New Roman" w:hAnsi="Times New Roman" w:cs="Times New Roman" w:hint="eastAsia"/>
          <w:color w:val="000000" w:themeColor="text1"/>
          <w:kern w:val="0"/>
          <w:sz w:val="28"/>
          <w:szCs w:val="28"/>
          <w:vertAlign w:val="subscript"/>
          <w:lang w:bidi="ar"/>
        </w:rPr>
        <w:t>Product i</w:t>
      </w:r>
      <w:r>
        <w:rPr>
          <w:rFonts w:ascii="Times New Roman" w:hAnsi="Times New Roman" w:cs="Times New Roman" w:hint="eastAsia"/>
          <w:color w:val="000000" w:themeColor="text1"/>
          <w:kern w:val="0"/>
          <w:sz w:val="28"/>
          <w:szCs w:val="28"/>
          <w:lang w:bidi="ar"/>
        </w:rPr>
        <w:t xml:space="preserve">is the sales volume of Product i, </w:t>
      </w:r>
      <w:r>
        <w:rPr>
          <w:rFonts w:ascii="Times New Roman" w:hAnsi="Times New Roman" w:cs="Times New Roman"/>
          <w:color w:val="000000" w:themeColor="text1"/>
          <w:kern w:val="0"/>
          <w:sz w:val="28"/>
          <w:szCs w:val="28"/>
          <w:lang w:bidi="ar"/>
        </w:rPr>
        <w:t xml:space="preserve">in </w:t>
      </w:r>
      <w:r>
        <w:rPr>
          <w:rFonts w:ascii="Times New Roman" w:hAnsi="Times New Roman" w:cs="Times New Roman" w:hint="eastAsia"/>
          <w:color w:val="000000" w:themeColor="text1"/>
          <w:kern w:val="0"/>
          <w:sz w:val="28"/>
          <w:szCs w:val="28"/>
          <w:lang w:bidi="ar"/>
        </w:rPr>
        <w:t>kg;</w:t>
      </w:r>
    </w:p>
    <w:p w14:paraId="4FFFA8B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w:t>
      </w:r>
      <w:r>
        <w:rPr>
          <w:rFonts w:ascii="Times New Roman" w:hAnsi="Times New Roman" w:cs="Times New Roman" w:hint="eastAsia"/>
          <w:color w:val="000000" w:themeColor="text1"/>
          <w:kern w:val="0"/>
          <w:sz w:val="28"/>
          <w:szCs w:val="28"/>
          <w:vertAlign w:val="subscript"/>
          <w:lang w:bidi="ar"/>
        </w:rPr>
        <w:t>Disposal_i</w:t>
      </w:r>
      <w:r>
        <w:rPr>
          <w:rFonts w:ascii="Times New Roman" w:hAnsi="Times New Roman" w:cs="Times New Roman" w:hint="eastAsia"/>
          <w:color w:val="000000" w:themeColor="text1"/>
          <w:kern w:val="0"/>
          <w:sz w:val="28"/>
          <w:szCs w:val="28"/>
          <w:lang w:bidi="ar"/>
        </w:rPr>
        <w:t xml:space="preserve">is the </w:t>
      </w:r>
      <w:r>
        <w:rPr>
          <w:rFonts w:ascii="Times New Roman" w:hAnsi="Times New Roman" w:cs="Times New Roman"/>
          <w:color w:val="000000" w:themeColor="text1"/>
          <w:kern w:val="0"/>
          <w:sz w:val="28"/>
          <w:szCs w:val="28"/>
          <w:lang w:bidi="ar"/>
        </w:rPr>
        <w:t xml:space="preserve">emission </w:t>
      </w:r>
      <w:r>
        <w:rPr>
          <w:rFonts w:ascii="Times New Roman" w:hAnsi="Times New Roman" w:cs="Times New Roman" w:hint="eastAsia"/>
          <w:color w:val="000000" w:themeColor="text1"/>
          <w:kern w:val="0"/>
          <w:sz w:val="28"/>
          <w:szCs w:val="28"/>
          <w:lang w:bidi="ar"/>
        </w:rPr>
        <w:t xml:space="preserve">factor for </w:t>
      </w:r>
      <w:r>
        <w:rPr>
          <w:rFonts w:ascii="Times New Roman" w:hAnsi="Times New Roman" w:cs="Times New Roman"/>
          <w:color w:val="000000" w:themeColor="text1"/>
          <w:kern w:val="0"/>
          <w:sz w:val="28"/>
          <w:szCs w:val="28"/>
          <w:lang w:bidi="ar"/>
        </w:rPr>
        <w:t xml:space="preserve">the </w:t>
      </w:r>
      <w:r>
        <w:rPr>
          <w:rFonts w:ascii="Times New Roman" w:hAnsi="Times New Roman" w:cs="Times New Roman" w:hint="eastAsia"/>
          <w:color w:val="000000" w:themeColor="text1"/>
          <w:kern w:val="0"/>
          <w:sz w:val="28"/>
          <w:szCs w:val="28"/>
          <w:lang w:bidi="ar"/>
        </w:rPr>
        <w:t xml:space="preserve">disposal </w:t>
      </w:r>
      <w:r>
        <w:rPr>
          <w:rFonts w:ascii="Times New Roman" w:hAnsi="Times New Roman" w:cs="Times New Roman"/>
          <w:color w:val="000000" w:themeColor="text1"/>
          <w:kern w:val="0"/>
          <w:sz w:val="28"/>
          <w:szCs w:val="28"/>
          <w:lang w:bidi="ar"/>
        </w:rPr>
        <w:t xml:space="preserve">stage of </w:t>
      </w:r>
      <w:r>
        <w:rPr>
          <w:rFonts w:ascii="Times New Roman" w:hAnsi="Times New Roman" w:cs="Times New Roman" w:hint="eastAsia"/>
          <w:color w:val="000000" w:themeColor="text1"/>
          <w:kern w:val="0"/>
          <w:sz w:val="28"/>
          <w:szCs w:val="28"/>
          <w:lang w:bidi="ar"/>
        </w:rPr>
        <w:t>product i;</w:t>
      </w:r>
    </w:p>
    <w:p w14:paraId="1DF907C5"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W</w:t>
      </w:r>
      <w:r>
        <w:rPr>
          <w:rFonts w:ascii="Times New Roman" w:hAnsi="Times New Roman" w:cs="Times New Roman" w:hint="eastAsia"/>
          <w:color w:val="000000" w:themeColor="text1"/>
          <w:kern w:val="0"/>
          <w:sz w:val="28"/>
          <w:szCs w:val="28"/>
          <w:vertAlign w:val="subscript"/>
          <w:lang w:bidi="ar"/>
        </w:rPr>
        <w:t>(</w:t>
      </w:r>
      <w:r>
        <w:rPr>
          <w:rFonts w:ascii="Times New Roman" w:hAnsi="Times New Roman" w:cs="Times New Roman" w:hint="eastAsia"/>
          <w:color w:val="000000" w:themeColor="text1"/>
          <w:kern w:val="0"/>
          <w:sz w:val="28"/>
          <w:szCs w:val="28"/>
          <w:lang w:bidi="ar"/>
        </w:rPr>
        <w:t>Packaging</w:t>
      </w:r>
      <w:r>
        <w:rPr>
          <w:rFonts w:ascii="Times New Roman" w:hAnsi="Times New Roman" w:cs="Times New Roman" w:hint="eastAsia"/>
          <w:color w:val="000000" w:themeColor="text1"/>
          <w:kern w:val="0"/>
          <w:sz w:val="28"/>
          <w:szCs w:val="28"/>
          <w:vertAlign w:val="subscript"/>
          <w:lang w:bidi="ar"/>
        </w:rPr>
        <w:t>Materials)</w:t>
      </w:r>
      <w:r>
        <w:rPr>
          <w:rFonts w:ascii="Times New Roman" w:hAnsi="Times New Roman" w:cs="Times New Roman" w:hint="eastAsia"/>
          <w:color w:val="000000" w:themeColor="text1"/>
          <w:kern w:val="0"/>
          <w:sz w:val="28"/>
          <w:szCs w:val="28"/>
          <w:lang w:bidi="ar"/>
        </w:rPr>
        <w:t>is the weight of the cardboard packaging materials;</w:t>
      </w:r>
    </w:p>
    <w:p w14:paraId="75ABD160" w14:textId="77777777" w:rsidR="002E68E2" w:rsidRDefault="00000000">
      <w:pPr>
        <w:spacing w:after="0" w:line="360" w:lineRule="auto"/>
        <w:ind w:firstLineChars="200" w:firstLine="560"/>
        <w:jc w:val="both"/>
        <w:rPr>
          <w:rFonts w:ascii="Times New Roman" w:hAnsi="Times New Roman" w:cs="Times New Roman"/>
          <w:color w:val="000000" w:themeColor="text1"/>
          <w:sz w:val="28"/>
          <w:szCs w:val="28"/>
        </w:rPr>
      </w:pPr>
      <w:r>
        <w:rPr>
          <w:rFonts w:ascii="Times New Roman" w:hAnsi="Times New Roman" w:cs="Times New Roman"/>
          <w:color w:val="000000" w:themeColor="text1"/>
          <w:kern w:val="0"/>
          <w:sz w:val="28"/>
          <w:szCs w:val="28"/>
          <w:lang w:bidi="ar"/>
        </w:rPr>
        <w:t xml:space="preserve"> EF</w:t>
      </w:r>
      <w:r>
        <w:rPr>
          <w:rFonts w:ascii="Times New Roman" w:hAnsi="Times New Roman" w:cs="Times New Roman" w:hint="eastAsia"/>
          <w:color w:val="000000" w:themeColor="text1"/>
          <w:kern w:val="0"/>
          <w:sz w:val="28"/>
          <w:szCs w:val="28"/>
          <w:vertAlign w:val="subscript"/>
          <w:lang w:bidi="ar"/>
        </w:rPr>
        <w:t>Paper</w:t>
      </w:r>
      <w:r>
        <w:rPr>
          <w:rFonts w:ascii="Times New Roman" w:hAnsi="Times New Roman" w:cs="Times New Roman" w:hint="eastAsia"/>
          <w:color w:val="000000" w:themeColor="text1"/>
          <w:kern w:val="0"/>
          <w:sz w:val="28"/>
          <w:szCs w:val="28"/>
          <w:lang w:bidi="ar"/>
        </w:rPr>
        <w:t xml:space="preserve">is </w:t>
      </w:r>
      <w:r>
        <w:rPr>
          <w:rFonts w:ascii="Times New Roman" w:hAnsi="Times New Roman" w:cs="Times New Roman"/>
          <w:color w:val="000000" w:themeColor="text1"/>
          <w:kern w:val="0"/>
          <w:sz w:val="28"/>
          <w:szCs w:val="28"/>
          <w:lang w:bidi="ar"/>
        </w:rPr>
        <w:t>the</w:t>
      </w:r>
      <w:r>
        <w:rPr>
          <w:rFonts w:ascii="Times New Roman" w:hAnsi="Times New Roman" w:cs="Times New Roman" w:hint="eastAsia"/>
          <w:color w:val="000000" w:themeColor="text1"/>
          <w:kern w:val="0"/>
          <w:sz w:val="28"/>
          <w:szCs w:val="28"/>
          <w:lang w:bidi="ar"/>
        </w:rPr>
        <w:t xml:space="preserve"> emission factor for the recycling of cardboard boxes, </w:t>
      </w:r>
      <w:r>
        <w:rPr>
          <w:rFonts w:ascii="Times New Roman" w:hAnsi="Times New Roman" w:cs="Times New Roman"/>
          <w:color w:val="000000" w:themeColor="text1"/>
          <w:kern w:val="0"/>
          <w:sz w:val="28"/>
          <w:szCs w:val="28"/>
          <w:lang w:bidi="ar"/>
        </w:rPr>
        <w:t>using the UK Government GHG Conversion Factors for Company Reporting</w:t>
      </w:r>
      <w:r>
        <w:rPr>
          <w:rFonts w:ascii="Times New Roman" w:hAnsi="Times New Roman" w:cs="Times New Roman"/>
          <w:color w:val="000000" w:themeColor="text1"/>
          <w:sz w:val="28"/>
          <w:szCs w:val="28"/>
        </w:rPr>
        <w:t>.</w:t>
      </w:r>
    </w:p>
    <w:p w14:paraId="5B8C54A6"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lastRenderedPageBreak/>
        <w:t xml:space="preserve"> Changes to the quantification methodology: The 2025 carbon inventory marks the company</w:t>
      </w:r>
      <w:r>
        <w:rPr>
          <w:rFonts w:ascii="Times New Roman" w:hAnsi="Times New Roman" w:cs="Times New Roman" w:hint="eastAsia"/>
          <w:sz w:val="28"/>
          <w:szCs w:val="28"/>
        </w:rPr>
        <w:t>’</w:t>
      </w:r>
      <w:r>
        <w:rPr>
          <w:rFonts w:ascii="Times New Roman" w:hAnsi="Times New Roman" w:cs="Times New Roman" w:hint="eastAsia"/>
          <w:sz w:val="28"/>
          <w:szCs w:val="28"/>
        </w:rPr>
        <w:t>s first organized carbon inventory calculation effort.</w:t>
      </w:r>
    </w:p>
    <w:p w14:paraId="3198390D" w14:textId="77777777" w:rsidR="002E68E2" w:rsidRDefault="00000000">
      <w:pPr>
        <w:pStyle w:val="20"/>
        <w:ind w:left="0" w:firstLine="0"/>
        <w:rPr>
          <w:sz w:val="28"/>
          <w:szCs w:val="28"/>
        </w:rPr>
      </w:pPr>
      <w:r>
        <w:rPr>
          <w:sz w:val="28"/>
          <w:szCs w:val="28"/>
        </w:rPr>
        <w:t xml:space="preserve"> </w:t>
      </w:r>
      <w:bookmarkStart w:id="52" w:name="_Toc21871"/>
      <w:bookmarkStart w:id="53" w:name="_Toc18229"/>
      <w:r>
        <w:rPr>
          <w:sz w:val="28"/>
          <w:szCs w:val="28"/>
        </w:rPr>
        <w:t>4.4 Greenhouse Gas Emissions</w:t>
      </w:r>
      <w:bookmarkEnd w:id="52"/>
      <w:bookmarkEnd w:id="53"/>
    </w:p>
    <w:p w14:paraId="37D16BE9" w14:textId="19A24FD2"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For the year 2025, </w:t>
      </w:r>
      <w:r w:rsidR="00F51219" w:rsidRPr="00F51219">
        <w:rPr>
          <w:rFonts w:ascii="Times New Roman" w:hAnsi="Times New Roman" w:cs="Times New Roman"/>
          <w:sz w:val="28"/>
          <w:szCs w:val="28"/>
        </w:rPr>
        <w:t>TOCN</w:t>
      </w:r>
      <w:r>
        <w:rPr>
          <w:rFonts w:ascii="Times New Roman" w:hAnsi="Times New Roman" w:cs="Times New Roman" w:hint="eastAsia"/>
          <w:sz w:val="28"/>
          <w:szCs w:val="28"/>
        </w:rPr>
        <w:t>’</w:t>
      </w:r>
      <w:r>
        <w:rPr>
          <w:rFonts w:ascii="Times New Roman" w:hAnsi="Times New Roman" w:cs="Times New Roman" w:hint="eastAsia"/>
          <w:sz w:val="28"/>
          <w:szCs w:val="28"/>
        </w:rPr>
        <w:t xml:space="preserve">s total </w:t>
      </w:r>
      <w:r>
        <w:rPr>
          <w:rFonts w:ascii="Times New Roman" w:hAnsi="Times New Roman" w:cs="Times New Roman"/>
          <w:sz w:val="28"/>
          <w:szCs w:val="28"/>
          <w:vertAlign w:val="subscript"/>
        </w:rPr>
        <w:t>Scope 2</w:t>
      </w:r>
      <w:r>
        <w:rPr>
          <w:rFonts w:ascii="Times New Roman" w:hAnsi="Times New Roman" w:cs="Times New Roman" w:hint="eastAsia"/>
          <w:sz w:val="28"/>
          <w:szCs w:val="28"/>
        </w:rPr>
        <w:t>greenhouse gas emissions were 15,300.</w:t>
      </w:r>
      <w:r>
        <w:rPr>
          <w:rFonts w:ascii="Times New Roman" w:hAnsi="Times New Roman" w:cs="Times New Roman"/>
          <w:sz w:val="28"/>
          <w:szCs w:val="28"/>
          <w:vertAlign w:val="subscript"/>
        </w:rPr>
        <w:t>62</w:t>
      </w:r>
      <w:r>
        <w:rPr>
          <w:rFonts w:ascii="Times New Roman" w:hAnsi="Times New Roman" w:cs="Times New Roman"/>
          <w:sz w:val="28"/>
          <w:szCs w:val="28"/>
        </w:rPr>
        <w:t xml:space="preserve">tCO₂e </w:t>
      </w:r>
      <w:r>
        <w:rPr>
          <w:rFonts w:ascii="Times New Roman" w:hAnsi="Times New Roman" w:cs="Times New Roman" w:hint="eastAsia"/>
          <w:sz w:val="28"/>
          <w:szCs w:val="28"/>
        </w:rPr>
        <w:t xml:space="preserve">using the location-based method; using the market-based method, the total </w:t>
      </w:r>
      <w:r>
        <w:rPr>
          <w:rFonts w:ascii="Times New Roman" w:hAnsi="Times New Roman" w:cs="Times New Roman"/>
          <w:sz w:val="28"/>
          <w:szCs w:val="28"/>
          <w:vertAlign w:val="subscript"/>
        </w:rPr>
        <w:t>Scope 2</w:t>
      </w:r>
      <w:r>
        <w:rPr>
          <w:rFonts w:ascii="Times New Roman" w:hAnsi="Times New Roman" w:cs="Times New Roman" w:hint="eastAsia"/>
          <w:sz w:val="28"/>
          <w:szCs w:val="28"/>
        </w:rPr>
        <w:t>greenhouse gas emissions were 15,472.</w:t>
      </w:r>
      <w:r>
        <w:rPr>
          <w:rFonts w:ascii="Times New Roman" w:hAnsi="Times New Roman" w:cs="Times New Roman"/>
          <w:sz w:val="28"/>
          <w:szCs w:val="28"/>
          <w:vertAlign w:val="subscript"/>
        </w:rPr>
        <w:t>05</w:t>
      </w:r>
      <w:r>
        <w:rPr>
          <w:rFonts w:ascii="Times New Roman" w:hAnsi="Times New Roman" w:cs="Times New Roman"/>
          <w:sz w:val="28"/>
          <w:szCs w:val="28"/>
        </w:rPr>
        <w:t>tCO₂e</w:t>
      </w:r>
      <w:r>
        <w:rPr>
          <w:rFonts w:ascii="Times New Roman" w:hAnsi="Times New Roman" w:cs="Times New Roman" w:hint="eastAsia"/>
          <w:sz w:val="28"/>
          <w:szCs w:val="28"/>
        </w:rPr>
        <w:t>;</w:t>
      </w:r>
    </w:p>
    <w:p w14:paraId="7825885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Of these, </w:t>
      </w:r>
      <w:r>
        <w:rPr>
          <w:rFonts w:ascii="Times New Roman" w:hAnsi="Times New Roman" w:cs="Times New Roman"/>
          <w:sz w:val="28"/>
          <w:szCs w:val="28"/>
        </w:rPr>
        <w:t>Scope 1 greenhouse gas emissions were</w:t>
      </w:r>
      <w:r>
        <w:rPr>
          <w:rFonts w:ascii="Times New Roman" w:hAnsi="Times New Roman" w:cs="Times New Roman" w:hint="eastAsia"/>
          <w:sz w:val="28"/>
          <w:szCs w:val="28"/>
        </w:rPr>
        <w:t xml:space="preserve"> 66.</w:t>
      </w:r>
      <w:r>
        <w:rPr>
          <w:rFonts w:ascii="Times New Roman" w:hAnsi="Times New Roman" w:cs="Times New Roman"/>
          <w:sz w:val="28"/>
          <w:szCs w:val="28"/>
          <w:vertAlign w:val="subscript"/>
        </w:rPr>
        <w:t>43</w:t>
      </w:r>
      <w:r>
        <w:rPr>
          <w:rFonts w:ascii="Times New Roman" w:hAnsi="Times New Roman" w:cs="Times New Roman"/>
          <w:sz w:val="28"/>
          <w:szCs w:val="28"/>
        </w:rPr>
        <w:t>tCO₂e, Scope 2 (</w:t>
      </w:r>
      <w:r>
        <w:rPr>
          <w:rFonts w:ascii="Times New Roman" w:hAnsi="Times New Roman" w:cs="Times New Roman" w:hint="eastAsia"/>
          <w:sz w:val="28"/>
          <w:szCs w:val="28"/>
        </w:rPr>
        <w:t>location-based</w:t>
      </w:r>
      <w:r>
        <w:rPr>
          <w:rFonts w:ascii="Times New Roman" w:hAnsi="Times New Roman" w:cs="Times New Roman"/>
          <w:sz w:val="28"/>
          <w:szCs w:val="28"/>
        </w:rPr>
        <w:t xml:space="preserve">) greenhouse gas </w:t>
      </w:r>
      <w:r>
        <w:rPr>
          <w:rFonts w:ascii="Times New Roman" w:hAnsi="Times New Roman" w:cs="Times New Roman" w:hint="eastAsia"/>
          <w:sz w:val="28"/>
          <w:szCs w:val="28"/>
        </w:rPr>
        <w:t>emissions were 1,151.</w:t>
      </w:r>
      <w:r>
        <w:rPr>
          <w:rFonts w:ascii="Times New Roman" w:hAnsi="Times New Roman" w:cs="Times New Roman"/>
          <w:sz w:val="28"/>
          <w:szCs w:val="28"/>
          <w:vertAlign w:val="subscript"/>
        </w:rPr>
        <w:t>35</w:t>
      </w:r>
      <w:r>
        <w:rPr>
          <w:rFonts w:ascii="Times New Roman" w:hAnsi="Times New Roman" w:cs="Times New Roman"/>
          <w:sz w:val="28"/>
          <w:szCs w:val="28"/>
        </w:rPr>
        <w:t>tCO₂e, Scope 2 (</w:t>
      </w:r>
      <w:r>
        <w:rPr>
          <w:rFonts w:ascii="Times New Roman" w:hAnsi="Times New Roman" w:cs="Times New Roman" w:hint="eastAsia"/>
          <w:sz w:val="28"/>
          <w:szCs w:val="28"/>
        </w:rPr>
        <w:t>market-based</w:t>
      </w:r>
      <w:r>
        <w:rPr>
          <w:rFonts w:ascii="Times New Roman" w:hAnsi="Times New Roman" w:cs="Times New Roman"/>
          <w:sz w:val="28"/>
          <w:szCs w:val="28"/>
        </w:rPr>
        <w:t xml:space="preserve">) </w:t>
      </w:r>
      <w:r>
        <w:rPr>
          <w:rFonts w:ascii="Times New Roman" w:hAnsi="Times New Roman" w:cs="Times New Roman" w:hint="eastAsia"/>
          <w:sz w:val="28"/>
          <w:szCs w:val="28"/>
        </w:rPr>
        <w:t>greenhouse</w:t>
      </w:r>
      <w:r>
        <w:rPr>
          <w:rFonts w:ascii="Times New Roman" w:hAnsi="Times New Roman" w:cs="Times New Roman"/>
          <w:sz w:val="28"/>
          <w:szCs w:val="28"/>
        </w:rPr>
        <w:t xml:space="preserve"> gas </w:t>
      </w:r>
      <w:r>
        <w:rPr>
          <w:rFonts w:ascii="Times New Roman" w:hAnsi="Times New Roman" w:cs="Times New Roman" w:hint="eastAsia"/>
          <w:sz w:val="28"/>
          <w:szCs w:val="28"/>
        </w:rPr>
        <w:t>emissions were 1,322.</w:t>
      </w:r>
      <w:r>
        <w:rPr>
          <w:rFonts w:ascii="Times New Roman" w:hAnsi="Times New Roman" w:cs="Times New Roman"/>
          <w:sz w:val="28"/>
          <w:szCs w:val="28"/>
        </w:rPr>
        <w:t>77 tCOe, and Scope 3 greenhouse gas emissions were 14,082.</w:t>
      </w:r>
      <w:r>
        <w:rPr>
          <w:rFonts w:ascii="Times New Roman" w:hAnsi="Times New Roman" w:cs="Times New Roman"/>
          <w:sz w:val="28"/>
          <w:szCs w:val="28"/>
          <w:vertAlign w:val="subscript"/>
        </w:rPr>
        <w:t>85</w:t>
      </w:r>
      <w:r>
        <w:rPr>
          <w:rFonts w:ascii="Times New Roman" w:hAnsi="Times New Roman" w:cs="Times New Roman"/>
          <w:sz w:val="28"/>
          <w:szCs w:val="28"/>
        </w:rPr>
        <w:t>tCO₂e</w:t>
      </w:r>
      <w:r>
        <w:rPr>
          <w:rFonts w:ascii="Times New Roman" w:hAnsi="Times New Roman" w:cs="Times New Roman" w:hint="eastAsia"/>
          <w:sz w:val="28"/>
          <w:szCs w:val="28"/>
        </w:rPr>
        <w:t>. The emissions are summarized in Table 4-3 below:</w:t>
      </w:r>
    </w:p>
    <w:p w14:paraId="52ED0C8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4-3 Summary of </w:t>
      </w:r>
      <w:r>
        <w:rPr>
          <w:rFonts w:ascii="Times New Roman" w:hAnsi="Times New Roman" w:cs="Times New Roman"/>
          <w:b/>
          <w:bCs/>
          <w:sz w:val="24"/>
          <w:szCs w:val="24"/>
        </w:rPr>
        <w:t>Greenhouse Gas Emissions</w:t>
      </w:r>
    </w:p>
    <w:tbl>
      <w:tblPr>
        <w:tblStyle w:val="afa"/>
        <w:tblW w:w="8407" w:type="dxa"/>
        <w:jc w:val="center"/>
        <w:tblLook w:val="04A0" w:firstRow="1" w:lastRow="0" w:firstColumn="1" w:lastColumn="0" w:noHBand="0" w:noVBand="1"/>
      </w:tblPr>
      <w:tblGrid>
        <w:gridCol w:w="1815"/>
        <w:gridCol w:w="2672"/>
        <w:gridCol w:w="3920"/>
      </w:tblGrid>
      <w:tr w:rsidR="002E68E2" w14:paraId="49E51F81" w14:textId="77777777">
        <w:trPr>
          <w:trHeight w:val="397"/>
          <w:tblHeader/>
          <w:jc w:val="center"/>
        </w:trPr>
        <w:tc>
          <w:tcPr>
            <w:tcW w:w="4487" w:type="dxa"/>
            <w:gridSpan w:val="2"/>
            <w:shd w:val="clear" w:color="auto" w:fill="D8D8D8" w:themeFill="background1" w:themeFillShade="D8"/>
            <w:vAlign w:val="center"/>
          </w:tcPr>
          <w:p w14:paraId="6B06B8D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Scope</w:t>
            </w:r>
          </w:p>
        </w:tc>
        <w:tc>
          <w:tcPr>
            <w:tcW w:w="3920" w:type="dxa"/>
            <w:shd w:val="clear" w:color="auto" w:fill="D8D8D8" w:themeFill="background1" w:themeFillShade="D8"/>
            <w:vAlign w:val="center"/>
          </w:tcPr>
          <w:p w14:paraId="7BECE39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2025 (tCO</w:t>
            </w:r>
            <w:r>
              <w:rPr>
                <w:rFonts w:ascii="Times New Roman" w:hAnsi="Times New Roman" w:cs="Times New Roman" w:hint="eastAsia"/>
                <w:b/>
                <w:bCs/>
                <w:sz w:val="24"/>
                <w:szCs w:val="24"/>
                <w:vertAlign w:val="subscript"/>
              </w:rPr>
              <w:t>₂</w:t>
            </w:r>
            <w:r>
              <w:rPr>
                <w:rFonts w:ascii="Times New Roman" w:hAnsi="Times New Roman" w:cs="Times New Roman" w:hint="eastAsia"/>
                <w:b/>
                <w:bCs/>
                <w:sz w:val="24"/>
                <w:szCs w:val="24"/>
              </w:rPr>
              <w:t>e)</w:t>
            </w:r>
          </w:p>
        </w:tc>
      </w:tr>
      <w:tr w:rsidR="002E68E2" w14:paraId="3D2E5EDC" w14:textId="77777777">
        <w:trPr>
          <w:trHeight w:val="397"/>
          <w:jc w:val="center"/>
        </w:trPr>
        <w:tc>
          <w:tcPr>
            <w:tcW w:w="4487" w:type="dxa"/>
            <w:gridSpan w:val="2"/>
            <w:vAlign w:val="center"/>
          </w:tcPr>
          <w:p w14:paraId="75F682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1</w:t>
            </w:r>
          </w:p>
        </w:tc>
        <w:tc>
          <w:tcPr>
            <w:tcW w:w="3920" w:type="dxa"/>
            <w:vAlign w:val="center"/>
          </w:tcPr>
          <w:p w14:paraId="0CF8BB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66.43</w:t>
            </w:r>
          </w:p>
        </w:tc>
      </w:tr>
      <w:tr w:rsidR="002E68E2" w14:paraId="2F343429" w14:textId="77777777">
        <w:trPr>
          <w:trHeight w:val="397"/>
          <w:jc w:val="center"/>
        </w:trPr>
        <w:tc>
          <w:tcPr>
            <w:tcW w:w="1815" w:type="dxa"/>
            <w:vMerge w:val="restart"/>
            <w:vAlign w:val="center"/>
          </w:tcPr>
          <w:p w14:paraId="36FA014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2</w:t>
            </w:r>
          </w:p>
        </w:tc>
        <w:tc>
          <w:tcPr>
            <w:tcW w:w="2672" w:type="dxa"/>
            <w:vAlign w:val="center"/>
          </w:tcPr>
          <w:p w14:paraId="300FD51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Based on </w:t>
            </w:r>
            <w:r>
              <w:rPr>
                <w:rFonts w:ascii="Times New Roman" w:hAnsi="Times New Roman" w:cs="Times New Roman" w:hint="eastAsia"/>
                <w:sz w:val="24"/>
                <w:szCs w:val="24"/>
              </w:rPr>
              <w:t>location</w:t>
            </w:r>
          </w:p>
        </w:tc>
        <w:tc>
          <w:tcPr>
            <w:tcW w:w="3920" w:type="dxa"/>
            <w:vAlign w:val="center"/>
          </w:tcPr>
          <w:p w14:paraId="6A6E941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1,151.35</w:t>
            </w:r>
          </w:p>
        </w:tc>
      </w:tr>
      <w:tr w:rsidR="002E68E2" w14:paraId="592D8223" w14:textId="77777777">
        <w:trPr>
          <w:trHeight w:val="397"/>
          <w:jc w:val="center"/>
        </w:trPr>
        <w:tc>
          <w:tcPr>
            <w:tcW w:w="1815" w:type="dxa"/>
            <w:vMerge/>
            <w:vAlign w:val="center"/>
          </w:tcPr>
          <w:p w14:paraId="00C1E1C3"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28FEB9A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Market-based</w:t>
            </w:r>
          </w:p>
        </w:tc>
        <w:tc>
          <w:tcPr>
            <w:tcW w:w="3920" w:type="dxa"/>
            <w:vAlign w:val="center"/>
          </w:tcPr>
          <w:p w14:paraId="4F24FD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1,322.77</w:t>
            </w:r>
          </w:p>
        </w:tc>
      </w:tr>
      <w:tr w:rsidR="002E68E2" w14:paraId="241B4E12" w14:textId="77777777">
        <w:trPr>
          <w:trHeight w:val="397"/>
          <w:jc w:val="center"/>
        </w:trPr>
        <w:tc>
          <w:tcPr>
            <w:tcW w:w="1815" w:type="dxa"/>
            <w:vMerge w:val="restart"/>
            <w:vAlign w:val="center"/>
          </w:tcPr>
          <w:p w14:paraId="41E65A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Range 3</w:t>
            </w:r>
          </w:p>
        </w:tc>
        <w:tc>
          <w:tcPr>
            <w:tcW w:w="2672" w:type="dxa"/>
            <w:vAlign w:val="center"/>
          </w:tcPr>
          <w:p w14:paraId="3D2D75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Upstream</w:t>
            </w:r>
          </w:p>
        </w:tc>
        <w:tc>
          <w:tcPr>
            <w:tcW w:w="3920" w:type="dxa"/>
            <w:vAlign w:val="center"/>
          </w:tcPr>
          <w:p w14:paraId="13FE76A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w:t>
            </w:r>
            <w:r>
              <w:rPr>
                <w:rFonts w:ascii="Times New Roman" w:hAnsi="Times New Roman" w:cs="Times New Roman" w:hint="eastAsia"/>
                <w:sz w:val="24"/>
                <w:szCs w:val="24"/>
              </w:rPr>
              <w:t>,</w:t>
            </w:r>
            <w:r>
              <w:rPr>
                <w:rFonts w:ascii="Times New Roman" w:hAnsi="Times New Roman" w:cs="Times New Roman"/>
                <w:sz w:val="24"/>
                <w:szCs w:val="24"/>
              </w:rPr>
              <w:t>941.96</w:t>
            </w:r>
          </w:p>
        </w:tc>
      </w:tr>
      <w:tr w:rsidR="002E68E2" w14:paraId="39DC0BD4" w14:textId="77777777">
        <w:trPr>
          <w:trHeight w:val="397"/>
          <w:jc w:val="center"/>
        </w:trPr>
        <w:tc>
          <w:tcPr>
            <w:tcW w:w="1815" w:type="dxa"/>
            <w:vMerge/>
            <w:vAlign w:val="center"/>
          </w:tcPr>
          <w:p w14:paraId="468EDB1C"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7178A17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Downstream</w:t>
            </w:r>
          </w:p>
        </w:tc>
        <w:tc>
          <w:tcPr>
            <w:tcW w:w="3920" w:type="dxa"/>
            <w:vAlign w:val="center"/>
          </w:tcPr>
          <w:p w14:paraId="3BD6C8A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140.89</w:t>
            </w:r>
          </w:p>
        </w:tc>
      </w:tr>
      <w:tr w:rsidR="002E68E2" w14:paraId="041428D3" w14:textId="77777777">
        <w:trPr>
          <w:trHeight w:val="397"/>
          <w:jc w:val="center"/>
        </w:trPr>
        <w:tc>
          <w:tcPr>
            <w:tcW w:w="1815" w:type="dxa"/>
            <w:vMerge/>
            <w:vAlign w:val="center"/>
          </w:tcPr>
          <w:p w14:paraId="49BE8C19"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2E116AE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Total</w:t>
            </w:r>
          </w:p>
        </w:tc>
        <w:tc>
          <w:tcPr>
            <w:tcW w:w="3920" w:type="dxa"/>
            <w:vAlign w:val="center"/>
          </w:tcPr>
          <w:p w14:paraId="6D3E24B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14,082.85</w:t>
            </w:r>
          </w:p>
        </w:tc>
      </w:tr>
      <w:tr w:rsidR="002E68E2" w14:paraId="3F92EEE0" w14:textId="77777777">
        <w:trPr>
          <w:trHeight w:val="397"/>
          <w:jc w:val="center"/>
        </w:trPr>
        <w:tc>
          <w:tcPr>
            <w:tcW w:w="1815" w:type="dxa"/>
            <w:vMerge w:val="restart"/>
            <w:vAlign w:val="center"/>
          </w:tcPr>
          <w:p w14:paraId="146EE91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Total Emissions</w:t>
            </w:r>
          </w:p>
        </w:tc>
        <w:tc>
          <w:tcPr>
            <w:tcW w:w="2672" w:type="dxa"/>
            <w:vAlign w:val="center"/>
          </w:tcPr>
          <w:p w14:paraId="7DF1DBC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By </w:t>
            </w:r>
            <w:r>
              <w:rPr>
                <w:rFonts w:ascii="Times New Roman" w:hAnsi="Times New Roman" w:cs="Times New Roman" w:hint="eastAsia"/>
                <w:sz w:val="24"/>
                <w:szCs w:val="24"/>
              </w:rPr>
              <w:t>location</w:t>
            </w:r>
          </w:p>
        </w:tc>
        <w:tc>
          <w:tcPr>
            <w:tcW w:w="3920" w:type="dxa"/>
            <w:vAlign w:val="center"/>
          </w:tcPr>
          <w:p w14:paraId="4289E7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15,300.</w:t>
            </w:r>
            <w:r>
              <w:rPr>
                <w:rFonts w:ascii="Times New Roman" w:hAnsi="Times New Roman" w:cs="Times New Roman" w:hint="eastAsia"/>
                <w:sz w:val="24"/>
                <w:szCs w:val="24"/>
              </w:rPr>
              <w:t>62</w:t>
            </w:r>
          </w:p>
        </w:tc>
      </w:tr>
      <w:tr w:rsidR="002E68E2" w14:paraId="40B8481B" w14:textId="77777777">
        <w:trPr>
          <w:trHeight w:val="397"/>
          <w:jc w:val="center"/>
        </w:trPr>
        <w:tc>
          <w:tcPr>
            <w:tcW w:w="1815" w:type="dxa"/>
            <w:vMerge/>
            <w:vAlign w:val="center"/>
          </w:tcPr>
          <w:p w14:paraId="02E2CC50"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51C4D0B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Market-based</w:t>
            </w:r>
          </w:p>
        </w:tc>
        <w:tc>
          <w:tcPr>
            <w:tcW w:w="3920" w:type="dxa"/>
            <w:vAlign w:val="center"/>
          </w:tcPr>
          <w:p w14:paraId="068894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w:t>
            </w:r>
            <w:r>
              <w:rPr>
                <w:rFonts w:ascii="Times New Roman" w:hAnsi="Times New Roman" w:cs="Times New Roman" w:hint="eastAsia"/>
                <w:sz w:val="24"/>
                <w:szCs w:val="24"/>
              </w:rPr>
              <w:t>472</w:t>
            </w:r>
            <w:r>
              <w:rPr>
                <w:rFonts w:ascii="Times New Roman" w:hAnsi="Times New Roman" w:cs="Times New Roman"/>
                <w:sz w:val="24"/>
                <w:szCs w:val="24"/>
              </w:rPr>
              <w:t>.</w:t>
            </w:r>
            <w:r>
              <w:rPr>
                <w:rFonts w:ascii="Times New Roman" w:hAnsi="Times New Roman" w:cs="Times New Roman" w:hint="eastAsia"/>
                <w:sz w:val="24"/>
                <w:szCs w:val="24"/>
              </w:rPr>
              <w:t>05</w:t>
            </w:r>
          </w:p>
        </w:tc>
      </w:tr>
    </w:tbl>
    <w:p w14:paraId="78B30DF2" w14:textId="77777777" w:rsidR="002E68E2" w:rsidRDefault="00000000">
      <w:pPr>
        <w:pStyle w:val="3"/>
        <w:rPr>
          <w:sz w:val="28"/>
          <w:szCs w:val="28"/>
        </w:rPr>
      </w:pPr>
      <w:bookmarkStart w:id="54" w:name="_Toc25852"/>
      <w:bookmarkStart w:id="55" w:name="_Toc6068"/>
      <w:r>
        <w:rPr>
          <w:sz w:val="28"/>
          <w:szCs w:val="28"/>
        </w:rPr>
        <w:t xml:space="preserve"> 4.4.1 </w:t>
      </w:r>
      <w:r>
        <w:rPr>
          <w:rFonts w:hint="eastAsia"/>
          <w:sz w:val="28"/>
          <w:szCs w:val="28"/>
        </w:rPr>
        <w:t xml:space="preserve">Scope 1 </w:t>
      </w:r>
      <w:r>
        <w:rPr>
          <w:sz w:val="28"/>
          <w:szCs w:val="28"/>
        </w:rPr>
        <w:t>Direct Greenhouse Gas Emissions</w:t>
      </w:r>
      <w:bookmarkEnd w:id="54"/>
      <w:bookmarkEnd w:id="55"/>
    </w:p>
    <w:p w14:paraId="082AEA7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w:t>
      </w:r>
      <w:r>
        <w:rPr>
          <w:rFonts w:ascii="Times New Roman" w:hAnsi="Times New Roman" w:cs="Times New Roman" w:hint="eastAsia"/>
          <w:sz w:val="28"/>
          <w:szCs w:val="28"/>
        </w:rPr>
        <w:t>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w:t>
      </w:r>
      <w:r>
        <w:rPr>
          <w:rFonts w:ascii="Times New Roman" w:hAnsi="Times New Roman" w:cs="Times New Roman"/>
          <w:sz w:val="28"/>
          <w:szCs w:val="28"/>
        </w:rPr>
        <w:t>direct greenhouse gas emissions from</w:t>
      </w:r>
      <w:r>
        <w:rPr>
          <w:rFonts w:ascii="Times New Roman" w:hAnsi="Times New Roman" w:cs="Times New Roman" w:hint="eastAsia"/>
          <w:sz w:val="28"/>
          <w:szCs w:val="28"/>
        </w:rPr>
        <w:t xml:space="preserve"> production and operations in 2025 totaled 66.</w:t>
      </w:r>
      <w:r>
        <w:rPr>
          <w:rFonts w:ascii="Times New Roman" w:hAnsi="Times New Roman" w:cs="Times New Roman"/>
          <w:sz w:val="28"/>
          <w:szCs w:val="28"/>
          <w:vertAlign w:val="subscript"/>
        </w:rPr>
        <w:t>43 tCO₂e</w:t>
      </w:r>
      <w:r>
        <w:rPr>
          <w:rFonts w:ascii="Times New Roman" w:hAnsi="Times New Roman" w:cs="Times New Roman" w:hint="eastAsia"/>
          <w:sz w:val="28"/>
          <w:szCs w:val="28"/>
        </w:rPr>
        <w:t>. The emissions from various sources and the types of greenhouse gases are shown in Tables 4-4 and 4-5 below:</w:t>
      </w:r>
    </w:p>
    <w:p w14:paraId="717179EB"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4-4 Scope 1 Emissions and Proportion</w:t>
      </w:r>
    </w:p>
    <w:tbl>
      <w:tblPr>
        <w:tblStyle w:val="afa"/>
        <w:tblW w:w="9447" w:type="dxa"/>
        <w:jc w:val="center"/>
        <w:tblLook w:val="04A0" w:firstRow="1" w:lastRow="0" w:firstColumn="1" w:lastColumn="0" w:noHBand="0" w:noVBand="1"/>
      </w:tblPr>
      <w:tblGrid>
        <w:gridCol w:w="2087"/>
        <w:gridCol w:w="1593"/>
        <w:gridCol w:w="1586"/>
        <w:gridCol w:w="1361"/>
        <w:gridCol w:w="1466"/>
        <w:gridCol w:w="1354"/>
      </w:tblGrid>
      <w:tr w:rsidR="002E68E2" w14:paraId="6CA3A04A" w14:textId="77777777">
        <w:trPr>
          <w:trHeight w:val="397"/>
          <w:tblHeader/>
          <w:jc w:val="center"/>
        </w:trPr>
        <w:tc>
          <w:tcPr>
            <w:tcW w:w="2087" w:type="dxa"/>
            <w:shd w:val="clear" w:color="auto" w:fill="D8D8D8" w:themeFill="background1" w:themeFillShade="D8"/>
            <w:vAlign w:val="center"/>
          </w:tcPr>
          <w:p w14:paraId="295F3065"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lastRenderedPageBreak/>
              <w:t xml:space="preserve"> Category</w:t>
            </w:r>
          </w:p>
        </w:tc>
        <w:tc>
          <w:tcPr>
            <w:tcW w:w="1593" w:type="dxa"/>
            <w:shd w:val="clear" w:color="auto" w:fill="D8D8D8" w:themeFill="background1" w:themeFillShade="D8"/>
            <w:vAlign w:val="center"/>
          </w:tcPr>
          <w:p w14:paraId="43D06EA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from Fixed Sources</w:t>
            </w:r>
          </w:p>
        </w:tc>
        <w:tc>
          <w:tcPr>
            <w:tcW w:w="1586" w:type="dxa"/>
            <w:shd w:val="clear" w:color="auto" w:fill="D8D8D8" w:themeFill="background1" w:themeFillShade="D8"/>
            <w:vAlign w:val="center"/>
          </w:tcPr>
          <w:p w14:paraId="2E30EB75"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Mobile Source Emissions</w:t>
            </w:r>
          </w:p>
        </w:tc>
        <w:tc>
          <w:tcPr>
            <w:tcW w:w="1361" w:type="dxa"/>
            <w:shd w:val="clear" w:color="auto" w:fill="D8D8D8" w:themeFill="background1" w:themeFillShade="D8"/>
            <w:vAlign w:val="center"/>
          </w:tcPr>
          <w:p w14:paraId="25C5C09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Process Emissions</w:t>
            </w:r>
          </w:p>
        </w:tc>
        <w:tc>
          <w:tcPr>
            <w:tcW w:w="1466" w:type="dxa"/>
            <w:shd w:val="clear" w:color="auto" w:fill="D8D8D8" w:themeFill="background1" w:themeFillShade="D8"/>
            <w:vAlign w:val="center"/>
          </w:tcPr>
          <w:p w14:paraId="2E7A5FE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Fugitive Emissions</w:t>
            </w:r>
          </w:p>
        </w:tc>
        <w:tc>
          <w:tcPr>
            <w:tcW w:w="1354" w:type="dxa"/>
            <w:shd w:val="clear" w:color="auto" w:fill="D8D8D8" w:themeFill="background1" w:themeFillShade="D8"/>
            <w:vAlign w:val="center"/>
          </w:tcPr>
          <w:p w14:paraId="27BF301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Total</w:t>
            </w:r>
          </w:p>
        </w:tc>
      </w:tr>
      <w:tr w:rsidR="002E68E2" w14:paraId="05EAE8DB" w14:textId="77777777">
        <w:trPr>
          <w:trHeight w:val="397"/>
          <w:jc w:val="center"/>
        </w:trPr>
        <w:tc>
          <w:tcPr>
            <w:tcW w:w="2087" w:type="dxa"/>
            <w:vAlign w:val="center"/>
          </w:tcPr>
          <w:p w14:paraId="5C4925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w:t>
            </w:r>
            <w:r>
              <w:rPr>
                <w:rFonts w:ascii="Times New Roman" w:hAnsi="Times New Roman" w:cs="Times New Roman" w:hint="eastAsia"/>
                <w:sz w:val="24"/>
                <w:szCs w:val="24"/>
                <w:vertAlign w:val="subscript"/>
              </w:rPr>
              <w:t>tCO</w:t>
            </w:r>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e)</w:t>
            </w:r>
          </w:p>
        </w:tc>
        <w:tc>
          <w:tcPr>
            <w:tcW w:w="1593" w:type="dxa"/>
            <w:vAlign w:val="center"/>
          </w:tcPr>
          <w:p w14:paraId="7D3DF6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586" w:type="dxa"/>
            <w:vAlign w:val="center"/>
          </w:tcPr>
          <w:p w14:paraId="4D25C82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w:t>
            </w:r>
            <w:r>
              <w:rPr>
                <w:rFonts w:ascii="Times New Roman" w:hAnsi="Times New Roman" w:cs="Times New Roman" w:hint="eastAsia"/>
                <w:sz w:val="24"/>
                <w:szCs w:val="24"/>
              </w:rPr>
              <w:t xml:space="preserve">85 </w:t>
            </w:r>
          </w:p>
        </w:tc>
        <w:tc>
          <w:tcPr>
            <w:tcW w:w="1361" w:type="dxa"/>
            <w:vAlign w:val="center"/>
          </w:tcPr>
          <w:p w14:paraId="3D7CDA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466" w:type="dxa"/>
            <w:vAlign w:val="center"/>
          </w:tcPr>
          <w:p w14:paraId="79CEF2F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41.57 </w:t>
            </w:r>
          </w:p>
        </w:tc>
        <w:tc>
          <w:tcPr>
            <w:tcW w:w="1354" w:type="dxa"/>
            <w:vAlign w:val="center"/>
          </w:tcPr>
          <w:p w14:paraId="134CD74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66.43 </w:t>
            </w:r>
          </w:p>
        </w:tc>
      </w:tr>
      <w:tr w:rsidR="002E68E2" w14:paraId="6FB70318" w14:textId="77777777">
        <w:trPr>
          <w:trHeight w:val="397"/>
          <w:jc w:val="center"/>
        </w:trPr>
        <w:tc>
          <w:tcPr>
            <w:tcW w:w="2087" w:type="dxa"/>
            <w:vAlign w:val="center"/>
          </w:tcPr>
          <w:p w14:paraId="1FF3BFE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Percentage</w:t>
            </w:r>
          </w:p>
        </w:tc>
        <w:tc>
          <w:tcPr>
            <w:tcW w:w="1593" w:type="dxa"/>
            <w:vAlign w:val="center"/>
          </w:tcPr>
          <w:p w14:paraId="65169A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586" w:type="dxa"/>
            <w:vAlign w:val="center"/>
          </w:tcPr>
          <w:p w14:paraId="2F34CB1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37.42%</w:t>
            </w:r>
          </w:p>
        </w:tc>
        <w:tc>
          <w:tcPr>
            <w:tcW w:w="1361" w:type="dxa"/>
            <w:vAlign w:val="center"/>
          </w:tcPr>
          <w:p w14:paraId="175F714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466" w:type="dxa"/>
            <w:vAlign w:val="center"/>
          </w:tcPr>
          <w:p w14:paraId="438A187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62.58%</w:t>
            </w:r>
          </w:p>
        </w:tc>
        <w:tc>
          <w:tcPr>
            <w:tcW w:w="1354" w:type="dxa"/>
            <w:vAlign w:val="center"/>
          </w:tcPr>
          <w:p w14:paraId="23D9A5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100%</w:t>
            </w:r>
          </w:p>
        </w:tc>
      </w:tr>
    </w:tbl>
    <w:p w14:paraId="5AFE909A" w14:textId="77777777" w:rsidR="002E68E2" w:rsidRDefault="00000000">
      <w:pPr>
        <w:adjustRightInd w:val="0"/>
        <w:snapToGrid w:val="0"/>
        <w:spacing w:beforeLines="100" w:before="240"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4-5: Greenhouse Gas Emissions by Type and Proportion</w:t>
      </w:r>
    </w:p>
    <w:tbl>
      <w:tblPr>
        <w:tblW w:w="9702" w:type="dxa"/>
        <w:jc w:val="center"/>
        <w:tblLayout w:type="fixed"/>
        <w:tblLook w:val="04A0" w:firstRow="1" w:lastRow="0" w:firstColumn="1" w:lastColumn="0" w:noHBand="0" w:noVBand="1"/>
      </w:tblPr>
      <w:tblGrid>
        <w:gridCol w:w="1320"/>
        <w:gridCol w:w="1225"/>
        <w:gridCol w:w="1187"/>
        <w:gridCol w:w="1040"/>
        <w:gridCol w:w="1162"/>
        <w:gridCol w:w="840"/>
        <w:gridCol w:w="816"/>
        <w:gridCol w:w="864"/>
        <w:gridCol w:w="1248"/>
      </w:tblGrid>
      <w:tr w:rsidR="002E68E2" w14:paraId="3A3AEE8B" w14:textId="77777777">
        <w:trPr>
          <w:trHeight w:val="397"/>
          <w:jc w:val="center"/>
        </w:trPr>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72FE3889"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Type</w:t>
            </w:r>
          </w:p>
        </w:tc>
        <w:tc>
          <w:tcPr>
            <w:tcW w:w="122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1DCBE2B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CO</w:t>
            </w:r>
            <w:r>
              <w:rPr>
                <w:rFonts w:ascii="Times New Roman" w:hAnsi="Times New Roman" w:cs="Times New Roman"/>
                <w:b/>
                <w:bCs/>
                <w:sz w:val="24"/>
                <w:szCs w:val="24"/>
                <w:vertAlign w:val="subscript"/>
              </w:rPr>
              <w:t>₂</w:t>
            </w:r>
          </w:p>
        </w:tc>
        <w:tc>
          <w:tcPr>
            <w:tcW w:w="11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31C6805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CH</w:t>
            </w:r>
            <w:r>
              <w:rPr>
                <w:rFonts w:ascii="Times New Roman" w:hAnsi="Times New Roman" w:cs="Times New Roman"/>
                <w:b/>
                <w:bCs/>
                <w:sz w:val="24"/>
                <w:szCs w:val="24"/>
                <w:vertAlign w:val="subscript"/>
              </w:rPr>
              <w:t>₄</w:t>
            </w:r>
          </w:p>
        </w:tc>
        <w:tc>
          <w:tcPr>
            <w:tcW w:w="104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27368A5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₂</w:t>
            </w:r>
            <w:r>
              <w:rPr>
                <w:rFonts w:ascii="Times New Roman" w:hAnsi="Times New Roman" w:cs="Times New Roman"/>
                <w:b/>
                <w:bCs/>
                <w:sz w:val="24"/>
                <w:szCs w:val="24"/>
              </w:rPr>
              <w:t>O</w:t>
            </w:r>
          </w:p>
        </w:tc>
        <w:tc>
          <w:tcPr>
            <w:tcW w:w="1162"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7265BAF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HFCs</w:t>
            </w:r>
          </w:p>
        </w:tc>
        <w:tc>
          <w:tcPr>
            <w:tcW w:w="84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3C278A3"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PFCs</w:t>
            </w:r>
          </w:p>
        </w:tc>
        <w:tc>
          <w:tcPr>
            <w:tcW w:w="81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169AD61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SF₆ </w:t>
            </w:r>
          </w:p>
        </w:tc>
        <w:tc>
          <w:tcPr>
            <w:tcW w:w="86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D12FD4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NF</w:t>
            </w:r>
            <w:r>
              <w:rPr>
                <w:rFonts w:ascii="Times New Roman" w:hAnsi="Times New Roman" w:cs="Times New Roman"/>
                <w:b/>
                <w:bCs/>
                <w:sz w:val="24"/>
                <w:szCs w:val="24"/>
                <w:vertAlign w:val="subscript"/>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6C8B61F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Total</w:t>
            </w:r>
          </w:p>
        </w:tc>
      </w:tr>
      <w:tr w:rsidR="002E68E2" w14:paraId="56B1CC83" w14:textId="77777777">
        <w:trPr>
          <w:trHeight w:val="397"/>
          <w:jc w:val="center"/>
        </w:trPr>
        <w:tc>
          <w:tcPr>
            <w:tcW w:w="1320" w:type="dxa"/>
            <w:tcBorders>
              <w:top w:val="single" w:sz="4" w:space="0" w:color="000000"/>
              <w:left w:val="single" w:sz="4" w:space="0" w:color="000000"/>
              <w:bottom w:val="single" w:sz="4" w:space="0" w:color="000000"/>
              <w:right w:val="single" w:sz="4" w:space="0" w:color="000000"/>
            </w:tcBorders>
            <w:noWrap/>
            <w:vAlign w:val="center"/>
          </w:tcPr>
          <w:p w14:paraId="01DE16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w:t>
            </w:r>
            <w:r>
              <w:rPr>
                <w:rFonts w:ascii="Times New Roman" w:hAnsi="Times New Roman" w:cs="Times New Roman" w:hint="eastAsia"/>
                <w:sz w:val="24"/>
                <w:szCs w:val="24"/>
                <w:vertAlign w:val="subscript"/>
              </w:rPr>
              <w:t>tCO</w:t>
            </w:r>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e)</w:t>
            </w:r>
          </w:p>
        </w:tc>
        <w:tc>
          <w:tcPr>
            <w:tcW w:w="122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401F603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24.44</w:t>
            </w:r>
          </w:p>
        </w:tc>
        <w:tc>
          <w:tcPr>
            <w:tcW w:w="11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0EBA1E1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12.44</w:t>
            </w:r>
          </w:p>
        </w:tc>
        <w:tc>
          <w:tcPr>
            <w:tcW w:w="10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1520D3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0.38</w:t>
            </w:r>
          </w:p>
        </w:tc>
        <w:tc>
          <w:tcPr>
            <w:tcW w:w="116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7699C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29.18</w:t>
            </w:r>
          </w:p>
        </w:tc>
        <w:tc>
          <w:tcPr>
            <w:tcW w:w="8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19B0B1E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AA5871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6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B3C62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24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469ED7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66.</w:t>
            </w:r>
            <w:r>
              <w:rPr>
                <w:rFonts w:ascii="Times New Roman" w:hAnsi="Times New Roman" w:cs="Times New Roman" w:hint="eastAsia"/>
                <w:sz w:val="24"/>
                <w:szCs w:val="24"/>
              </w:rPr>
              <w:t>43</w:t>
            </w:r>
          </w:p>
        </w:tc>
      </w:tr>
      <w:tr w:rsidR="002E68E2" w14:paraId="59F78A99" w14:textId="77777777">
        <w:trPr>
          <w:trHeight w:val="397"/>
          <w:jc w:val="center"/>
        </w:trPr>
        <w:tc>
          <w:tcPr>
            <w:tcW w:w="1320" w:type="dxa"/>
            <w:tcBorders>
              <w:top w:val="single" w:sz="4" w:space="0" w:color="000000"/>
              <w:left w:val="single" w:sz="4" w:space="0" w:color="000000"/>
              <w:bottom w:val="single" w:sz="4" w:space="0" w:color="000000"/>
              <w:right w:val="single" w:sz="4" w:space="0" w:color="000000"/>
            </w:tcBorders>
            <w:noWrap/>
            <w:vAlign w:val="center"/>
          </w:tcPr>
          <w:p w14:paraId="7DFF9E6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Percentage</w:t>
            </w:r>
          </w:p>
        </w:tc>
        <w:tc>
          <w:tcPr>
            <w:tcW w:w="122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526C7C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36</w:t>
            </w:r>
            <w:r>
              <w:rPr>
                <w:rFonts w:ascii="Times New Roman" w:hAnsi="Times New Roman" w:cs="Times New Roman"/>
                <w:sz w:val="24"/>
                <w:szCs w:val="24"/>
              </w:rPr>
              <w:t>.78%</w:t>
            </w:r>
          </w:p>
        </w:tc>
        <w:tc>
          <w:tcPr>
            <w:tcW w:w="11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6F520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18.72%</w:t>
            </w:r>
          </w:p>
        </w:tc>
        <w:tc>
          <w:tcPr>
            <w:tcW w:w="10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4DF23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0.57%</w:t>
            </w:r>
          </w:p>
        </w:tc>
        <w:tc>
          <w:tcPr>
            <w:tcW w:w="116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1F60D8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43</w:t>
            </w:r>
            <w:r>
              <w:rPr>
                <w:rFonts w:ascii="Times New Roman" w:hAnsi="Times New Roman" w:cs="Times New Roman"/>
                <w:sz w:val="24"/>
                <w:szCs w:val="24"/>
              </w:rPr>
              <w:t>.92%</w:t>
            </w:r>
          </w:p>
        </w:tc>
        <w:tc>
          <w:tcPr>
            <w:tcW w:w="8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61668C5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3622D7B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6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71BAA0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FA00BF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100%</w:t>
            </w:r>
          </w:p>
        </w:tc>
      </w:tr>
    </w:tbl>
    <w:p w14:paraId="088CEC32" w14:textId="77777777" w:rsidR="002E68E2" w:rsidRDefault="00000000">
      <w:pPr>
        <w:pStyle w:val="3"/>
        <w:rPr>
          <w:sz w:val="28"/>
          <w:szCs w:val="28"/>
        </w:rPr>
      </w:pPr>
      <w:bookmarkStart w:id="56" w:name="_Toc18903"/>
      <w:bookmarkStart w:id="57" w:name="_Toc12025"/>
      <w:r>
        <w:rPr>
          <w:sz w:val="28"/>
          <w:szCs w:val="28"/>
        </w:rPr>
        <w:t xml:space="preserve"> 4.4.2 </w:t>
      </w:r>
      <w:r>
        <w:rPr>
          <w:rFonts w:hint="eastAsia"/>
          <w:sz w:val="28"/>
          <w:szCs w:val="28"/>
        </w:rPr>
        <w:t xml:space="preserve">Scope 2 </w:t>
      </w:r>
      <w:r>
        <w:rPr>
          <w:sz w:val="28"/>
          <w:szCs w:val="28"/>
        </w:rPr>
        <w:t>Indirect Greenhouse Gas Emissions</w:t>
      </w:r>
      <w:bookmarkEnd w:id="56"/>
      <w:bookmarkEnd w:id="57"/>
    </w:p>
    <w:p w14:paraId="214E0120" w14:textId="77777777" w:rsidR="002E68E2" w:rsidRDefault="00000000">
      <w:pPr>
        <w:adjustRightInd w:val="0"/>
        <w:snapToGrid w:val="0"/>
        <w:spacing w:after="0" w:line="360" w:lineRule="auto"/>
        <w:ind w:firstLineChars="200" w:firstLine="560"/>
        <w:jc w:val="both"/>
        <w:rPr>
          <w:rFonts w:ascii="Times New Roman" w:hAnsi="Times New Roman" w:cs="Times New Roman"/>
          <w:b/>
          <w:bCs/>
          <w:sz w:val="24"/>
          <w:szCs w:val="24"/>
        </w:rPr>
      </w:pPr>
      <w:r>
        <w:rPr>
          <w:rFonts w:ascii="Times New Roman" w:hAnsi="Times New Roman" w:cs="Times New Roman" w:hint="eastAsia"/>
          <w:sz w:val="28"/>
          <w:szCs w:val="28"/>
        </w:rPr>
        <w:t xml:space="preserve"> The 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2025 </w:t>
      </w:r>
      <w:r>
        <w:rPr>
          <w:rFonts w:ascii="Times New Roman" w:hAnsi="Times New Roman" w:cs="Times New Roman"/>
          <w:sz w:val="28"/>
          <w:szCs w:val="28"/>
        </w:rPr>
        <w:t>indirect greenhouse gas emissions</w:t>
      </w:r>
      <w:r>
        <w:rPr>
          <w:rFonts w:ascii="Times New Roman" w:hAnsi="Times New Roman" w:cs="Times New Roman" w:hint="eastAsia"/>
          <w:sz w:val="28"/>
          <w:szCs w:val="28"/>
        </w:rPr>
        <w:t xml:space="preserve"> calculated </w:t>
      </w:r>
      <w:r>
        <w:rPr>
          <w:rFonts w:ascii="Times New Roman" w:hAnsi="Times New Roman" w:cs="Times New Roman"/>
          <w:sz w:val="28"/>
          <w:szCs w:val="28"/>
        </w:rPr>
        <w:t>using</w:t>
      </w:r>
      <w:r>
        <w:rPr>
          <w:rFonts w:ascii="Times New Roman" w:hAnsi="Times New Roman" w:cs="Times New Roman" w:hint="eastAsia"/>
          <w:sz w:val="28"/>
          <w:szCs w:val="28"/>
        </w:rPr>
        <w:t xml:space="preserve"> the location-based method were 1,151.</w:t>
      </w:r>
      <w:r>
        <w:rPr>
          <w:rFonts w:ascii="Times New Roman" w:hAnsi="Times New Roman" w:cs="Times New Roman"/>
          <w:sz w:val="28"/>
          <w:szCs w:val="28"/>
          <w:vertAlign w:val="subscript"/>
        </w:rPr>
        <w:t>35</w:t>
      </w:r>
      <w:r>
        <w:rPr>
          <w:rFonts w:ascii="Times New Roman" w:hAnsi="Times New Roman" w:cs="Times New Roman"/>
          <w:sz w:val="28"/>
          <w:szCs w:val="28"/>
        </w:rPr>
        <w:t>tCO₂e</w:t>
      </w:r>
      <w:r>
        <w:rPr>
          <w:rFonts w:ascii="Times New Roman" w:hAnsi="Times New Roman" w:cs="Times New Roman" w:hint="eastAsia"/>
          <w:sz w:val="28"/>
          <w:szCs w:val="28"/>
        </w:rPr>
        <w:t xml:space="preserve">, </w:t>
      </w:r>
      <w:r>
        <w:rPr>
          <w:rFonts w:ascii="Times New Roman" w:hAnsi="Times New Roman" w:cs="Times New Roman"/>
          <w:sz w:val="28"/>
          <w:szCs w:val="28"/>
        </w:rPr>
        <w:t>and those calculated</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using </w:t>
      </w:r>
      <w:r>
        <w:rPr>
          <w:rFonts w:ascii="Times New Roman" w:hAnsi="Times New Roman" w:cs="Times New Roman" w:hint="eastAsia"/>
          <w:sz w:val="28"/>
          <w:szCs w:val="28"/>
        </w:rPr>
        <w:t xml:space="preserve">the market-based method </w:t>
      </w:r>
      <w:r>
        <w:rPr>
          <w:rFonts w:ascii="Times New Roman" w:hAnsi="Times New Roman" w:cs="Times New Roman"/>
          <w:sz w:val="28"/>
          <w:szCs w:val="28"/>
        </w:rPr>
        <w:t>were</w:t>
      </w:r>
      <w:r>
        <w:rPr>
          <w:rFonts w:ascii="Times New Roman" w:hAnsi="Times New Roman" w:cs="Times New Roman" w:hint="eastAsia"/>
          <w:sz w:val="28"/>
          <w:szCs w:val="28"/>
        </w:rPr>
        <w:t xml:space="preserve"> 1,322.</w:t>
      </w:r>
      <w:r>
        <w:rPr>
          <w:rFonts w:ascii="Times New Roman" w:hAnsi="Times New Roman" w:cs="Times New Roman"/>
          <w:sz w:val="28"/>
          <w:szCs w:val="28"/>
          <w:vertAlign w:val="subscript"/>
        </w:rPr>
        <w:t>77 tCO₂e</w:t>
      </w:r>
      <w:r>
        <w:rPr>
          <w:rFonts w:ascii="Times New Roman" w:hAnsi="Times New Roman" w:cs="Times New Roman" w:hint="eastAsia"/>
          <w:sz w:val="28"/>
          <w:szCs w:val="28"/>
        </w:rPr>
        <w:t>. The specific emission data are shown in Table 4-6 below:</w:t>
      </w:r>
    </w:p>
    <w:p w14:paraId="488DDCA0" w14:textId="77777777" w:rsidR="002E68E2" w:rsidRDefault="00000000">
      <w:pPr>
        <w:adjustRightInd w:val="0"/>
        <w:snapToGrid w:val="0"/>
        <w:spacing w:after="0" w:line="360" w:lineRule="auto"/>
        <w:jc w:val="center"/>
        <w:rPr>
          <w:rFonts w:ascii="Times New Roman" w:hAnsi="Times New Roman" w:cs="Times New Roman"/>
          <w:sz w:val="28"/>
          <w:szCs w:val="28"/>
        </w:rPr>
      </w:pPr>
      <w:r>
        <w:rPr>
          <w:rFonts w:ascii="Times New Roman" w:hAnsi="Times New Roman" w:cs="Times New Roman" w:hint="eastAsia"/>
          <w:b/>
          <w:bCs/>
          <w:sz w:val="24"/>
          <w:szCs w:val="24"/>
        </w:rPr>
        <w:t xml:space="preserve"> Table 4-6 Scope 2 Emissions</w:t>
      </w:r>
    </w:p>
    <w:tbl>
      <w:tblPr>
        <w:tblW w:w="8610" w:type="dxa"/>
        <w:jc w:val="center"/>
        <w:tblLayout w:type="fixed"/>
        <w:tblLook w:val="04A0" w:firstRow="1" w:lastRow="0" w:firstColumn="1" w:lastColumn="0" w:noHBand="0" w:noVBand="1"/>
      </w:tblPr>
      <w:tblGrid>
        <w:gridCol w:w="2121"/>
        <w:gridCol w:w="3264"/>
        <w:gridCol w:w="3225"/>
      </w:tblGrid>
      <w:tr w:rsidR="002E68E2" w14:paraId="1E595982" w14:textId="77777777">
        <w:trPr>
          <w:trHeight w:val="397"/>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0555C23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Source</w:t>
            </w:r>
          </w:p>
        </w:tc>
        <w:tc>
          <w:tcPr>
            <w:tcW w:w="326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608748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Purchased Electricity (Location-Based)</w:t>
            </w:r>
          </w:p>
        </w:tc>
        <w:tc>
          <w:tcPr>
            <w:tcW w:w="322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D6B098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Purchased Electricity (Market-Based)</w:t>
            </w:r>
          </w:p>
        </w:tc>
      </w:tr>
      <w:tr w:rsidR="002E68E2" w14:paraId="168C6970" w14:textId="77777777">
        <w:trPr>
          <w:trHeight w:val="397"/>
          <w:jc w:val="center"/>
        </w:trPr>
        <w:tc>
          <w:tcPr>
            <w:tcW w:w="2121" w:type="dxa"/>
            <w:tcBorders>
              <w:top w:val="single" w:sz="4" w:space="0" w:color="000000"/>
              <w:left w:val="single" w:sz="4" w:space="0" w:color="000000"/>
              <w:bottom w:val="single" w:sz="4" w:space="0" w:color="000000"/>
              <w:right w:val="single" w:sz="4" w:space="0" w:color="000000"/>
            </w:tcBorders>
            <w:vAlign w:val="center"/>
          </w:tcPr>
          <w:p w14:paraId="64CBA5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w:t>
            </w:r>
            <w:r>
              <w:rPr>
                <w:rFonts w:ascii="Times New Roman" w:hAnsi="Times New Roman" w:cs="Times New Roman" w:hint="eastAsia"/>
                <w:sz w:val="24"/>
                <w:szCs w:val="24"/>
                <w:vertAlign w:val="subscript"/>
              </w:rPr>
              <w:t>tCO</w:t>
            </w:r>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e)</w:t>
            </w:r>
          </w:p>
        </w:tc>
        <w:tc>
          <w:tcPr>
            <w:tcW w:w="3264" w:type="dxa"/>
            <w:tcBorders>
              <w:top w:val="single" w:sz="4" w:space="0" w:color="000000"/>
              <w:left w:val="single" w:sz="4" w:space="0" w:color="000000"/>
              <w:bottom w:val="single" w:sz="4" w:space="0" w:color="000000"/>
              <w:right w:val="single" w:sz="4" w:space="0" w:color="000000"/>
            </w:tcBorders>
            <w:noWrap/>
            <w:vAlign w:val="center"/>
          </w:tcPr>
          <w:p w14:paraId="7395E7DD" w14:textId="77777777" w:rsidR="002E68E2" w:rsidRDefault="00000000">
            <w:pPr>
              <w:adjustRightInd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 1,151.35</w:t>
            </w:r>
          </w:p>
        </w:tc>
        <w:tc>
          <w:tcPr>
            <w:tcW w:w="3225" w:type="dxa"/>
            <w:tcBorders>
              <w:top w:val="single" w:sz="4" w:space="0" w:color="000000"/>
              <w:left w:val="single" w:sz="4" w:space="0" w:color="000000"/>
              <w:bottom w:val="single" w:sz="4" w:space="0" w:color="000000"/>
              <w:right w:val="single" w:sz="4" w:space="0" w:color="000000"/>
            </w:tcBorders>
            <w:noWrap/>
            <w:vAlign w:val="center"/>
          </w:tcPr>
          <w:p w14:paraId="58ECFC00" w14:textId="77777777" w:rsidR="002E68E2" w:rsidRDefault="00000000">
            <w:pPr>
              <w:adjustRightInd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 1,322.77</w:t>
            </w:r>
          </w:p>
        </w:tc>
      </w:tr>
    </w:tbl>
    <w:p w14:paraId="23B5B492" w14:textId="77777777" w:rsidR="002E68E2" w:rsidRDefault="00000000">
      <w:pPr>
        <w:pStyle w:val="3"/>
        <w:rPr>
          <w:sz w:val="28"/>
          <w:szCs w:val="28"/>
        </w:rPr>
      </w:pPr>
      <w:bookmarkStart w:id="58" w:name="_Toc31969"/>
      <w:bookmarkStart w:id="59" w:name="_Toc25764"/>
      <w:r>
        <w:rPr>
          <w:sz w:val="28"/>
          <w:szCs w:val="28"/>
        </w:rPr>
        <w:t xml:space="preserve"> 4.4.3 Other Indirect </w:t>
      </w:r>
      <w:r>
        <w:rPr>
          <w:rFonts w:hint="eastAsia"/>
          <w:sz w:val="28"/>
          <w:szCs w:val="28"/>
        </w:rPr>
        <w:t xml:space="preserve">Scope 3 </w:t>
      </w:r>
      <w:r>
        <w:rPr>
          <w:sz w:val="28"/>
          <w:szCs w:val="28"/>
        </w:rPr>
        <w:t>Greenhouse Gas Emissions</w:t>
      </w:r>
      <w:bookmarkEnd w:id="58"/>
      <w:bookmarkEnd w:id="59"/>
    </w:p>
    <w:p w14:paraId="0CDD187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w:t>
      </w:r>
      <w:r>
        <w:rPr>
          <w:rFonts w:ascii="Times New Roman" w:hAnsi="Times New Roman" w:cs="Times New Roman" w:hint="eastAsia"/>
          <w:sz w:val="28"/>
          <w:szCs w:val="28"/>
        </w:rPr>
        <w:t xml:space="preserve"> 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Scope 3 </w:t>
      </w:r>
      <w:r>
        <w:rPr>
          <w:rFonts w:ascii="Times New Roman" w:hAnsi="Times New Roman" w:cs="Times New Roman"/>
          <w:sz w:val="28"/>
          <w:szCs w:val="28"/>
        </w:rPr>
        <w:t xml:space="preserve">other indirect greenhouse gas emissions  </w:t>
      </w:r>
      <w:r>
        <w:rPr>
          <w:rFonts w:ascii="Times New Roman" w:hAnsi="Times New Roman" w:cs="Times New Roman" w:hint="eastAsia"/>
          <w:sz w:val="28"/>
          <w:szCs w:val="28"/>
        </w:rPr>
        <w:t xml:space="preserve">from the value chain for the 2025 fiscal year </w:t>
      </w:r>
      <w:r>
        <w:rPr>
          <w:rFonts w:ascii="Times New Roman" w:hAnsi="Times New Roman" w:cs="Times New Roman"/>
          <w:sz w:val="28"/>
          <w:szCs w:val="28"/>
        </w:rPr>
        <w:t>were</w:t>
      </w:r>
      <w:r>
        <w:rPr>
          <w:rFonts w:ascii="Times New Roman" w:hAnsi="Times New Roman" w:cs="Times New Roman" w:hint="eastAsia"/>
          <w:sz w:val="28"/>
          <w:szCs w:val="28"/>
        </w:rPr>
        <w:t xml:space="preserve"> 14,082.</w:t>
      </w:r>
      <w:r>
        <w:rPr>
          <w:rFonts w:ascii="Times New Roman" w:hAnsi="Times New Roman" w:cs="Times New Roman"/>
          <w:sz w:val="28"/>
          <w:szCs w:val="28"/>
          <w:vertAlign w:val="subscript"/>
        </w:rPr>
        <w:t>85</w:t>
      </w:r>
      <w:r>
        <w:rPr>
          <w:rFonts w:ascii="Times New Roman" w:hAnsi="Times New Roman" w:cs="Times New Roman"/>
          <w:sz w:val="28"/>
          <w:szCs w:val="28"/>
        </w:rPr>
        <w:t>tCO₂e</w:t>
      </w:r>
      <w:r>
        <w:rPr>
          <w:rFonts w:ascii="Times New Roman" w:hAnsi="Times New Roman" w:cs="Times New Roman" w:hint="eastAsia"/>
          <w:sz w:val="28"/>
          <w:szCs w:val="28"/>
        </w:rPr>
        <w:t>. The emissions by category for Scope 3 are shown in Table 4-7 below:</w:t>
      </w:r>
    </w:p>
    <w:p w14:paraId="18FF3A8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4-7 </w:t>
      </w:r>
      <w:r>
        <w:rPr>
          <w:rFonts w:ascii="Times New Roman" w:hAnsi="Times New Roman" w:cs="Times New Roman"/>
          <w:b/>
          <w:bCs/>
          <w:sz w:val="24"/>
          <w:szCs w:val="24"/>
        </w:rPr>
        <w:t>Greenhouse Gas Emissions by Category for Scope 3</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77"/>
        <w:gridCol w:w="4004"/>
      </w:tblGrid>
      <w:tr w:rsidR="002E68E2" w14:paraId="42DEB1A8" w14:textId="77777777">
        <w:trPr>
          <w:trHeight w:val="397"/>
          <w:tblHeader/>
          <w:jc w:val="center"/>
        </w:trPr>
        <w:tc>
          <w:tcPr>
            <w:tcW w:w="4577" w:type="dxa"/>
            <w:shd w:val="clear" w:color="auto" w:fill="D8D8D8" w:themeFill="background1" w:themeFillShade="D8"/>
            <w:vAlign w:val="center"/>
          </w:tcPr>
          <w:p w14:paraId="127555F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Category</w:t>
            </w:r>
          </w:p>
        </w:tc>
        <w:tc>
          <w:tcPr>
            <w:tcW w:w="4004" w:type="dxa"/>
            <w:shd w:val="clear" w:color="auto" w:fill="D8D8D8" w:themeFill="background1" w:themeFillShade="D8"/>
            <w:vAlign w:val="center"/>
          </w:tcPr>
          <w:p w14:paraId="3A6EAC8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w:t>
            </w:r>
            <w:r>
              <w:rPr>
                <w:rFonts w:ascii="Times New Roman" w:hAnsi="Times New Roman" w:cs="Times New Roman" w:hint="eastAsia"/>
                <w:b/>
                <w:bCs/>
                <w:sz w:val="24"/>
                <w:szCs w:val="24"/>
                <w:vertAlign w:val="subscript"/>
              </w:rPr>
              <w:t>tCO</w:t>
            </w:r>
            <w:r>
              <w:rPr>
                <w:rFonts w:ascii="Times New Roman" w:hAnsi="Times New Roman" w:cs="Times New Roman" w:hint="eastAsia"/>
                <w:b/>
                <w:bCs/>
                <w:sz w:val="24"/>
                <w:szCs w:val="24"/>
                <w:vertAlign w:val="subscript"/>
              </w:rPr>
              <w:t>₂</w:t>
            </w:r>
            <w:r>
              <w:rPr>
                <w:rFonts w:ascii="Times New Roman" w:hAnsi="Times New Roman" w:cs="Times New Roman" w:hint="eastAsia"/>
                <w:b/>
                <w:bCs/>
                <w:sz w:val="24"/>
                <w:szCs w:val="24"/>
              </w:rPr>
              <w:t>e)</w:t>
            </w:r>
          </w:p>
        </w:tc>
      </w:tr>
      <w:tr w:rsidR="002E68E2" w14:paraId="66D70D8D" w14:textId="77777777">
        <w:trPr>
          <w:trHeight w:val="397"/>
          <w:jc w:val="center"/>
        </w:trPr>
        <w:tc>
          <w:tcPr>
            <w:tcW w:w="4577" w:type="dxa"/>
            <w:vAlign w:val="center"/>
          </w:tcPr>
          <w:p w14:paraId="74524D5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b/>
                <w:bCs/>
                <w:sz w:val="24"/>
                <w:szCs w:val="24"/>
              </w:rPr>
              <w:t xml:space="preserve"> Upstream Emissions</w:t>
            </w:r>
          </w:p>
        </w:tc>
        <w:tc>
          <w:tcPr>
            <w:tcW w:w="4004" w:type="dxa"/>
            <w:vAlign w:val="center"/>
          </w:tcPr>
          <w:p w14:paraId="146E4E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w:t>
            </w:r>
            <w:r>
              <w:rPr>
                <w:rFonts w:ascii="Times New Roman" w:hAnsi="Times New Roman" w:cs="Times New Roman" w:hint="eastAsia"/>
                <w:sz w:val="24"/>
                <w:szCs w:val="24"/>
              </w:rPr>
              <w:t>,</w:t>
            </w:r>
            <w:r>
              <w:rPr>
                <w:rFonts w:ascii="Times New Roman" w:hAnsi="Times New Roman" w:cs="Times New Roman"/>
                <w:sz w:val="24"/>
                <w:szCs w:val="24"/>
              </w:rPr>
              <w:t>941.96</w:t>
            </w:r>
          </w:p>
        </w:tc>
      </w:tr>
      <w:tr w:rsidR="002E68E2" w14:paraId="0C48F1CD" w14:textId="77777777">
        <w:trPr>
          <w:trHeight w:val="397"/>
          <w:jc w:val="center"/>
        </w:trPr>
        <w:tc>
          <w:tcPr>
            <w:tcW w:w="4577" w:type="dxa"/>
            <w:vAlign w:val="center"/>
          </w:tcPr>
          <w:p w14:paraId="632FB52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1: </w:t>
            </w:r>
            <w:r>
              <w:rPr>
                <w:rFonts w:ascii="Times New Roman" w:hAnsi="Times New Roman" w:cs="Times New Roman"/>
                <w:sz w:val="24"/>
                <w:szCs w:val="24"/>
              </w:rPr>
              <w:t>Purchased Goods and Services</w:t>
            </w:r>
          </w:p>
        </w:tc>
        <w:tc>
          <w:tcPr>
            <w:tcW w:w="4004" w:type="dxa"/>
            <w:vAlign w:val="center"/>
          </w:tcPr>
          <w:p w14:paraId="3846B9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13,399.93</w:t>
            </w:r>
          </w:p>
        </w:tc>
      </w:tr>
      <w:tr w:rsidR="002E68E2" w14:paraId="699F5369" w14:textId="77777777">
        <w:trPr>
          <w:trHeight w:val="397"/>
          <w:jc w:val="center"/>
        </w:trPr>
        <w:tc>
          <w:tcPr>
            <w:tcW w:w="4577" w:type="dxa"/>
            <w:vAlign w:val="center"/>
          </w:tcPr>
          <w:p w14:paraId="6570F2F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2 </w:t>
            </w:r>
            <w:r>
              <w:rPr>
                <w:rFonts w:ascii="Times New Roman" w:hAnsi="Times New Roman" w:cs="Times New Roman"/>
                <w:sz w:val="24"/>
                <w:szCs w:val="24"/>
              </w:rPr>
              <w:t>capital goods</w:t>
            </w:r>
          </w:p>
        </w:tc>
        <w:tc>
          <w:tcPr>
            <w:tcW w:w="4004" w:type="dxa"/>
            <w:vAlign w:val="center"/>
          </w:tcPr>
          <w:p w14:paraId="39255E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389.87</w:t>
            </w:r>
          </w:p>
        </w:tc>
      </w:tr>
      <w:tr w:rsidR="002E68E2" w14:paraId="05F9F975" w14:textId="77777777">
        <w:trPr>
          <w:trHeight w:val="397"/>
          <w:jc w:val="center"/>
        </w:trPr>
        <w:tc>
          <w:tcPr>
            <w:tcW w:w="4577" w:type="dxa"/>
            <w:vAlign w:val="center"/>
          </w:tcPr>
          <w:p w14:paraId="204FE0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3: </w:t>
            </w:r>
            <w:r>
              <w:rPr>
                <w:rFonts w:ascii="Times New Roman" w:hAnsi="Times New Roman" w:cs="Times New Roman"/>
                <w:sz w:val="24"/>
                <w:szCs w:val="24"/>
              </w:rPr>
              <w:t>Fuel and Energy-Related Activities</w:t>
            </w:r>
          </w:p>
        </w:tc>
        <w:tc>
          <w:tcPr>
            <w:tcW w:w="4004" w:type="dxa"/>
            <w:vAlign w:val="center"/>
          </w:tcPr>
          <w:p w14:paraId="3356049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114.70</w:t>
            </w:r>
          </w:p>
        </w:tc>
      </w:tr>
      <w:tr w:rsidR="002E68E2" w14:paraId="68978D6C" w14:textId="77777777">
        <w:trPr>
          <w:trHeight w:val="397"/>
          <w:jc w:val="center"/>
        </w:trPr>
        <w:tc>
          <w:tcPr>
            <w:tcW w:w="4577" w:type="dxa"/>
            <w:vAlign w:val="center"/>
          </w:tcPr>
          <w:p w14:paraId="61E3BB9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 xml:space="preserve"> Category 4: </w:t>
            </w:r>
            <w:r>
              <w:rPr>
                <w:rFonts w:ascii="Times New Roman" w:hAnsi="Times New Roman" w:cs="Times New Roman"/>
                <w:sz w:val="24"/>
                <w:szCs w:val="24"/>
              </w:rPr>
              <w:t>Upstream Transportation and Distribution</w:t>
            </w:r>
          </w:p>
        </w:tc>
        <w:tc>
          <w:tcPr>
            <w:tcW w:w="4004" w:type="dxa"/>
            <w:vAlign w:val="center"/>
          </w:tcPr>
          <w:p w14:paraId="78A18C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3.14</w:t>
            </w:r>
          </w:p>
        </w:tc>
      </w:tr>
      <w:tr w:rsidR="002E68E2" w14:paraId="4FB8A7FB" w14:textId="77777777">
        <w:trPr>
          <w:trHeight w:val="397"/>
          <w:jc w:val="center"/>
        </w:trPr>
        <w:tc>
          <w:tcPr>
            <w:tcW w:w="4577" w:type="dxa"/>
            <w:vAlign w:val="center"/>
          </w:tcPr>
          <w:p w14:paraId="1919455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5: </w:t>
            </w:r>
            <w:r>
              <w:rPr>
                <w:rFonts w:ascii="Times New Roman" w:hAnsi="Times New Roman" w:cs="Times New Roman"/>
                <w:sz w:val="24"/>
                <w:szCs w:val="24"/>
              </w:rPr>
              <w:t>Waste generated during operations</w:t>
            </w:r>
          </w:p>
        </w:tc>
        <w:tc>
          <w:tcPr>
            <w:tcW w:w="4004" w:type="dxa"/>
            <w:vAlign w:val="center"/>
          </w:tcPr>
          <w:p w14:paraId="79871EE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2E68E2" w14:paraId="4207FE5E" w14:textId="77777777">
        <w:trPr>
          <w:trHeight w:val="397"/>
          <w:jc w:val="center"/>
        </w:trPr>
        <w:tc>
          <w:tcPr>
            <w:tcW w:w="4577" w:type="dxa"/>
            <w:vAlign w:val="center"/>
          </w:tcPr>
          <w:p w14:paraId="7A1126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6: </w:t>
            </w:r>
            <w:r>
              <w:rPr>
                <w:rFonts w:ascii="Times New Roman" w:hAnsi="Times New Roman" w:cs="Times New Roman"/>
                <w:sz w:val="24"/>
                <w:szCs w:val="24"/>
              </w:rPr>
              <w:t>Business Travel</w:t>
            </w:r>
          </w:p>
        </w:tc>
        <w:tc>
          <w:tcPr>
            <w:tcW w:w="4004" w:type="dxa"/>
            <w:vAlign w:val="center"/>
          </w:tcPr>
          <w:p w14:paraId="7F10C95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6.40</w:t>
            </w:r>
          </w:p>
        </w:tc>
      </w:tr>
      <w:tr w:rsidR="002E68E2" w14:paraId="32EC8647" w14:textId="77777777">
        <w:trPr>
          <w:trHeight w:val="397"/>
          <w:jc w:val="center"/>
        </w:trPr>
        <w:tc>
          <w:tcPr>
            <w:tcW w:w="4577" w:type="dxa"/>
            <w:vAlign w:val="center"/>
          </w:tcPr>
          <w:p w14:paraId="47B643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7: </w:t>
            </w:r>
            <w:r>
              <w:rPr>
                <w:rFonts w:ascii="Times New Roman" w:hAnsi="Times New Roman" w:cs="Times New Roman"/>
                <w:sz w:val="24"/>
                <w:szCs w:val="24"/>
              </w:rPr>
              <w:t>Employee Commuting</w:t>
            </w:r>
          </w:p>
        </w:tc>
        <w:tc>
          <w:tcPr>
            <w:tcW w:w="4004" w:type="dxa"/>
            <w:vAlign w:val="center"/>
          </w:tcPr>
          <w:p w14:paraId="363BE5D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27.65</w:t>
            </w:r>
          </w:p>
        </w:tc>
      </w:tr>
      <w:tr w:rsidR="002E68E2" w14:paraId="45F5BBC3" w14:textId="77777777">
        <w:trPr>
          <w:trHeight w:val="397"/>
          <w:jc w:val="center"/>
        </w:trPr>
        <w:tc>
          <w:tcPr>
            <w:tcW w:w="4577" w:type="dxa"/>
            <w:vAlign w:val="center"/>
          </w:tcPr>
          <w:p w14:paraId="36E815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b/>
                <w:bCs/>
                <w:sz w:val="24"/>
                <w:szCs w:val="24"/>
              </w:rPr>
              <w:t xml:space="preserve"> Downstream Emissions</w:t>
            </w:r>
          </w:p>
        </w:tc>
        <w:tc>
          <w:tcPr>
            <w:tcW w:w="4004" w:type="dxa"/>
            <w:vAlign w:val="center"/>
          </w:tcPr>
          <w:p w14:paraId="00833E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140.89</w:t>
            </w:r>
          </w:p>
        </w:tc>
      </w:tr>
      <w:tr w:rsidR="002E68E2" w14:paraId="6EBAF93E" w14:textId="77777777">
        <w:trPr>
          <w:trHeight w:val="397"/>
          <w:jc w:val="center"/>
        </w:trPr>
        <w:tc>
          <w:tcPr>
            <w:tcW w:w="4577" w:type="dxa"/>
            <w:vAlign w:val="center"/>
          </w:tcPr>
          <w:p w14:paraId="7F30F92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9 </w:t>
            </w:r>
            <w:r>
              <w:rPr>
                <w:rFonts w:ascii="Times New Roman" w:hAnsi="Times New Roman" w:cs="Times New Roman"/>
                <w:sz w:val="24"/>
                <w:szCs w:val="24"/>
              </w:rPr>
              <w:t>Downstream Transportation and Distribution</w:t>
            </w:r>
          </w:p>
        </w:tc>
        <w:tc>
          <w:tcPr>
            <w:tcW w:w="4004" w:type="dxa"/>
            <w:vAlign w:val="center"/>
          </w:tcPr>
          <w:p w14:paraId="14D29C1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140.89</w:t>
            </w:r>
          </w:p>
        </w:tc>
      </w:tr>
      <w:tr w:rsidR="002E68E2" w14:paraId="291D876B" w14:textId="77777777">
        <w:trPr>
          <w:trHeight w:val="397"/>
          <w:jc w:val="center"/>
        </w:trPr>
        <w:tc>
          <w:tcPr>
            <w:tcW w:w="4577" w:type="dxa"/>
            <w:vAlign w:val="center"/>
          </w:tcPr>
          <w:p w14:paraId="15F8A6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b/>
                <w:bCs/>
                <w:sz w:val="24"/>
                <w:szCs w:val="24"/>
              </w:rPr>
              <w:t xml:space="preserve"> Total</w:t>
            </w:r>
          </w:p>
        </w:tc>
        <w:tc>
          <w:tcPr>
            <w:tcW w:w="4004" w:type="dxa"/>
            <w:shd w:val="clear" w:color="auto" w:fill="FFFFFF"/>
            <w:vAlign w:val="center"/>
          </w:tcPr>
          <w:p w14:paraId="7F06209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14,082.85</w:t>
            </w:r>
          </w:p>
        </w:tc>
      </w:tr>
    </w:tbl>
    <w:p w14:paraId="6CE0D4D5" w14:textId="77777777" w:rsidR="002E68E2" w:rsidRDefault="00000000">
      <w:pPr>
        <w:pStyle w:val="3"/>
        <w:spacing w:beforeLines="100" w:before="240"/>
        <w:rPr>
          <w:sz w:val="28"/>
          <w:szCs w:val="28"/>
        </w:rPr>
      </w:pPr>
      <w:bookmarkStart w:id="60" w:name="_Toc27727"/>
      <w:bookmarkStart w:id="61" w:name="_Toc3632"/>
      <w:r>
        <w:rPr>
          <w:sz w:val="28"/>
          <w:szCs w:val="28"/>
        </w:rPr>
        <w:t xml:space="preserve"> 4.4.4 Greenhouse Gas Emissions Related to Biomass Combustion</w:t>
      </w:r>
      <w:bookmarkEnd w:id="60"/>
      <w:bookmarkEnd w:id="61"/>
    </w:p>
    <w:p w14:paraId="0851DBBB" w14:textId="77777777" w:rsidR="002E68E2" w:rsidRDefault="00000000">
      <w:pPr>
        <w:adjustRightInd w:val="0"/>
        <w:snapToGrid w:val="0"/>
        <w:spacing w:after="0" w:line="360" w:lineRule="auto"/>
        <w:ind w:firstLineChars="200" w:firstLine="560"/>
        <w:jc w:val="both"/>
        <w:rPr>
          <w:rFonts w:ascii="Times New Roman" w:hAnsi="Times New Roman" w:cs="Times New Roman"/>
          <w:sz w:val="24"/>
          <w:szCs w:val="24"/>
        </w:rPr>
      </w:pPr>
      <w:r>
        <w:rPr>
          <w:rFonts w:ascii="Times New Roman" w:hAnsi="Times New Roman" w:cs="Times New Roman" w:hint="eastAsia"/>
          <w:sz w:val="28"/>
          <w:szCs w:val="28"/>
        </w:rPr>
        <w:t xml:space="preserve"> The company did not </w:t>
      </w:r>
      <w:r>
        <w:rPr>
          <w:rFonts w:ascii="Times New Roman" w:hAnsi="Times New Roman" w:cs="Times New Roman"/>
          <w:sz w:val="28"/>
          <w:szCs w:val="28"/>
        </w:rPr>
        <w:t xml:space="preserve">use biomass fuel </w:t>
      </w:r>
      <w:r>
        <w:rPr>
          <w:rFonts w:ascii="Times New Roman" w:hAnsi="Times New Roman" w:cs="Times New Roman" w:hint="eastAsia"/>
          <w:sz w:val="28"/>
          <w:szCs w:val="28"/>
        </w:rPr>
        <w:t>in 2025</w:t>
      </w:r>
      <w:r>
        <w:rPr>
          <w:rFonts w:ascii="Times New Roman" w:hAnsi="Times New Roman" w:cs="Times New Roman"/>
          <w:sz w:val="28"/>
          <w:szCs w:val="28"/>
        </w:rPr>
        <w:t>.</w:t>
      </w:r>
      <w:r>
        <w:rPr>
          <w:rFonts w:ascii="Times New Roman" w:hAnsi="Times New Roman" w:cs="Times New Roman"/>
          <w:sz w:val="24"/>
          <w:szCs w:val="24"/>
        </w:rPr>
        <w:br w:type="page"/>
      </w:r>
    </w:p>
    <w:p w14:paraId="47673B39" w14:textId="77777777" w:rsidR="002E68E2" w:rsidRDefault="00000000">
      <w:pPr>
        <w:pStyle w:val="1"/>
        <w:keepNext/>
        <w:topLinePunct/>
        <w:ind w:left="0" w:firstLine="0"/>
        <w:rPr>
          <w:sz w:val="32"/>
          <w:szCs w:val="32"/>
        </w:rPr>
      </w:pPr>
      <w:bookmarkStart w:id="62" w:name="_Toc1690"/>
      <w:bookmarkStart w:id="63" w:name="_Toc28809"/>
      <w:r>
        <w:rPr>
          <w:sz w:val="32"/>
          <w:szCs w:val="32"/>
        </w:rPr>
        <w:lastRenderedPageBreak/>
        <w:t xml:space="preserve"> 5. </w:t>
      </w:r>
      <w:r>
        <w:rPr>
          <w:rFonts w:hint="eastAsia"/>
          <w:sz w:val="32"/>
          <w:szCs w:val="32"/>
        </w:rPr>
        <w:t xml:space="preserve">Data Quality </w:t>
      </w:r>
      <w:r>
        <w:rPr>
          <w:sz w:val="32"/>
          <w:szCs w:val="32"/>
        </w:rPr>
        <w:t>Assessment</w:t>
      </w:r>
      <w:bookmarkEnd w:id="62"/>
      <w:bookmarkEnd w:id="63"/>
    </w:p>
    <w:p w14:paraId="5E57CC94" w14:textId="77777777" w:rsidR="002E68E2" w:rsidRDefault="00000000">
      <w:pPr>
        <w:pStyle w:val="20"/>
        <w:rPr>
          <w:sz w:val="28"/>
          <w:szCs w:val="28"/>
        </w:rPr>
      </w:pPr>
      <w:r>
        <w:rPr>
          <w:sz w:val="28"/>
          <w:szCs w:val="28"/>
        </w:rPr>
        <w:t xml:space="preserve"> </w:t>
      </w:r>
      <w:bookmarkStart w:id="64" w:name="_Toc26588"/>
      <w:bookmarkStart w:id="65" w:name="_Toc11"/>
      <w:r>
        <w:rPr>
          <w:sz w:val="28"/>
          <w:szCs w:val="28"/>
        </w:rPr>
        <w:t>5.1 Assessment Methodology</w:t>
      </w:r>
      <w:bookmarkEnd w:id="64"/>
      <w:bookmarkEnd w:id="65"/>
    </w:p>
    <w:p w14:paraId="69501F8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evaluates all activity data and emission factors </w:t>
      </w:r>
      <w:r>
        <w:rPr>
          <w:rFonts w:ascii="Times New Roman" w:hAnsi="Times New Roman" w:cs="Times New Roman"/>
          <w:sz w:val="28"/>
          <w:szCs w:val="28"/>
        </w:rPr>
        <w:t xml:space="preserve">to determine </w:t>
      </w:r>
      <w:r>
        <w:rPr>
          <w:rFonts w:ascii="Times New Roman" w:hAnsi="Times New Roman" w:cs="Times New Roman" w:hint="eastAsia"/>
          <w:sz w:val="28"/>
          <w:szCs w:val="28"/>
        </w:rPr>
        <w:t xml:space="preserve">data quality </w:t>
      </w:r>
      <w:r>
        <w:rPr>
          <w:rFonts w:ascii="Times New Roman" w:hAnsi="Times New Roman" w:cs="Times New Roman"/>
          <w:sz w:val="28"/>
          <w:szCs w:val="28"/>
        </w:rPr>
        <w:t>at the greenhouse gas inventory category level.</w:t>
      </w:r>
    </w:p>
    <w:p w14:paraId="41D789F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Organizational carbon emissions accounting is influenced by numerous factors. From the company’s perspective, </w:t>
      </w:r>
      <w:r>
        <w:rPr>
          <w:rFonts w:ascii="Times New Roman" w:hAnsi="Times New Roman" w:cs="Times New Roman" w:hint="eastAsia"/>
          <w:sz w:val="28"/>
          <w:szCs w:val="28"/>
        </w:rPr>
        <w:t xml:space="preserve">the quality of </w:t>
      </w:r>
      <w:r>
        <w:rPr>
          <w:rFonts w:ascii="Times New Roman" w:hAnsi="Times New Roman" w:cs="Times New Roman"/>
          <w:sz w:val="28"/>
          <w:szCs w:val="28"/>
        </w:rPr>
        <w:t xml:space="preserve">carbon </w:t>
      </w:r>
      <w:r>
        <w:rPr>
          <w:rFonts w:ascii="Times New Roman" w:hAnsi="Times New Roman" w:cs="Times New Roman" w:hint="eastAsia"/>
          <w:sz w:val="28"/>
          <w:szCs w:val="28"/>
        </w:rPr>
        <w:t xml:space="preserve">inventory data is related to </w:t>
      </w:r>
      <w:r>
        <w:rPr>
          <w:rFonts w:ascii="Times New Roman" w:hAnsi="Times New Roman" w:cs="Times New Roman"/>
          <w:sz w:val="28"/>
          <w:szCs w:val="28"/>
        </w:rPr>
        <w:t>the</w:t>
      </w:r>
      <w:r>
        <w:rPr>
          <w:rFonts w:ascii="Times New Roman" w:hAnsi="Times New Roman" w:cs="Times New Roman" w:hint="eastAsia"/>
          <w:sz w:val="28"/>
          <w:szCs w:val="28"/>
        </w:rPr>
        <w:t xml:space="preserve"> relevant personnel</w:t>
      </w:r>
      <w:r>
        <w:rPr>
          <w:rFonts w:ascii="Times New Roman" w:hAnsi="Times New Roman" w:cs="Times New Roman" w:hint="eastAsia"/>
          <w:sz w:val="28"/>
          <w:szCs w:val="28"/>
        </w:rPr>
        <w:t>’</w:t>
      </w:r>
      <w:r>
        <w:rPr>
          <w:rFonts w:ascii="Times New Roman" w:hAnsi="Times New Roman" w:cs="Times New Roman"/>
          <w:sz w:val="28"/>
          <w:szCs w:val="28"/>
        </w:rPr>
        <w:t>s lack of knowledge regarding carbon inventory processes</w:t>
      </w:r>
      <w:r>
        <w:rPr>
          <w:rFonts w:ascii="Times New Roman" w:hAnsi="Times New Roman" w:cs="Times New Roman" w:hint="eastAsia"/>
          <w:sz w:val="28"/>
          <w:szCs w:val="28"/>
        </w:rPr>
        <w:t>;</w:t>
      </w:r>
      <w:r>
        <w:rPr>
          <w:rFonts w:ascii="Times New Roman" w:hAnsi="Times New Roman" w:cs="Times New Roman"/>
          <w:sz w:val="28"/>
          <w:szCs w:val="28"/>
        </w:rPr>
        <w:t xml:space="preserve"> this knowledge gap can lead to significant data uncertainty</w:t>
      </w:r>
      <w:r>
        <w:rPr>
          <w:rFonts w:ascii="Times New Roman" w:hAnsi="Times New Roman" w:cs="Times New Roman" w:hint="eastAsia"/>
          <w:sz w:val="28"/>
          <w:szCs w:val="28"/>
        </w:rPr>
        <w:t>, which in turn affects the overall data quality score</w:t>
      </w:r>
      <w:r>
        <w:rPr>
          <w:rFonts w:ascii="Times New Roman" w:hAnsi="Times New Roman" w:cs="Times New Roman"/>
          <w:sz w:val="28"/>
          <w:szCs w:val="28"/>
        </w:rPr>
        <w:t xml:space="preserve">. During data collection and research, there are inevitably many constraints, such as time, manpower, material resources, and technological capabilities; therefore, </w:t>
      </w:r>
      <w:r>
        <w:rPr>
          <w:rFonts w:ascii="Times New Roman" w:hAnsi="Times New Roman" w:cs="Times New Roman" w:hint="eastAsia"/>
          <w:sz w:val="28"/>
          <w:szCs w:val="28"/>
        </w:rPr>
        <w:t>the collected data contains a high degree of uncertainty</w:t>
      </w:r>
      <w:r>
        <w:rPr>
          <w:rFonts w:ascii="Times New Roman" w:hAnsi="Times New Roman" w:cs="Times New Roman"/>
          <w:sz w:val="28"/>
          <w:szCs w:val="28"/>
        </w:rPr>
        <w:t>.Furthermore, the uncertainty in organizational carbon emission accounting data is also related to the selection of emission factors.</w:t>
      </w:r>
    </w:p>
    <w:p w14:paraId="04D49A7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During the production data collection phase, high-quality data can be obtained from </w:t>
      </w:r>
      <w:r>
        <w:rPr>
          <w:rFonts w:ascii="Times New Roman" w:hAnsi="Times New Roman" w:cs="Times New Roman" w:hint="eastAsia"/>
          <w:sz w:val="28"/>
          <w:szCs w:val="28"/>
        </w:rPr>
        <w:t>suppliers</w:t>
      </w:r>
      <w:r>
        <w:rPr>
          <w:rFonts w:ascii="Times New Roman" w:hAnsi="Times New Roman" w:cs="Times New Roman"/>
          <w:sz w:val="28"/>
          <w:szCs w:val="28"/>
        </w:rPr>
        <w:t xml:space="preserve">; however, some data may not have been retained or recorded, which can also lead to uncertainty in carbon emission calculation results. When uncertainty cannot be quantitatively estimated or when the cost-benefit ratio is unfavorable, a qualitative assessment </w:t>
      </w:r>
      <w:r>
        <w:rPr>
          <w:rFonts w:ascii="Times New Roman" w:hAnsi="Times New Roman" w:cs="Times New Roman" w:hint="eastAsia"/>
          <w:sz w:val="28"/>
          <w:szCs w:val="28"/>
        </w:rPr>
        <w:t xml:space="preserve">may </w:t>
      </w:r>
      <w:r>
        <w:rPr>
          <w:rFonts w:ascii="Times New Roman" w:hAnsi="Times New Roman" w:cs="Times New Roman"/>
          <w:sz w:val="28"/>
          <w:szCs w:val="28"/>
        </w:rPr>
        <w:t>be conducted.</w:t>
      </w:r>
    </w:p>
    <w:p w14:paraId="6B371AA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Regarding the selection of emission factors, priority should be given to factors measured by the enterprise itself, as these </w:t>
      </w:r>
      <w:r>
        <w:rPr>
          <w:rFonts w:ascii="Times New Roman" w:hAnsi="Times New Roman" w:cs="Times New Roman" w:hint="eastAsia"/>
          <w:sz w:val="28"/>
          <w:szCs w:val="28"/>
        </w:rPr>
        <w:t xml:space="preserve">have </w:t>
      </w:r>
      <w:r>
        <w:rPr>
          <w:rFonts w:ascii="Times New Roman" w:hAnsi="Times New Roman" w:cs="Times New Roman"/>
          <w:sz w:val="28"/>
          <w:szCs w:val="28"/>
        </w:rPr>
        <w:t>the lowest</w:t>
      </w:r>
      <w:r>
        <w:rPr>
          <w:rFonts w:ascii="Times New Roman" w:hAnsi="Times New Roman" w:cs="Times New Roman" w:hint="eastAsia"/>
          <w:sz w:val="28"/>
          <w:szCs w:val="28"/>
        </w:rPr>
        <w:t xml:space="preserve"> uncertainty</w:t>
      </w:r>
      <w:r>
        <w:rPr>
          <w:rFonts w:ascii="Times New Roman" w:hAnsi="Times New Roman" w:cs="Times New Roman"/>
          <w:sz w:val="28"/>
          <w:szCs w:val="28"/>
        </w:rPr>
        <w:t xml:space="preserve">. For cases where measurement conditions are unavailable or measurement methods do not comply with relevant standards, default values should be used. In terms of uncertainty, default values rank from highest to lowest as follows: international factors &gt; national factors &gt; regional factors &gt; local factors. </w:t>
      </w:r>
      <w:r>
        <w:rPr>
          <w:rFonts w:ascii="Times New Roman" w:hAnsi="Times New Roman" w:cs="Times New Roman"/>
          <w:sz w:val="28"/>
          <w:szCs w:val="28"/>
        </w:rPr>
        <w:lastRenderedPageBreak/>
        <w:t>Therefore, when accounting for a company’s carbon emissions, the choice of factors will introduce uncertainty into the calculation results.</w:t>
      </w:r>
    </w:p>
    <w:p w14:paraId="3C074F51"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assessment </w:t>
      </w:r>
      <w:r>
        <w:rPr>
          <w:rFonts w:ascii="Times New Roman" w:hAnsi="Times New Roman" w:cs="Times New Roman" w:hint="eastAsia"/>
          <w:sz w:val="28"/>
          <w:szCs w:val="28"/>
        </w:rPr>
        <w:t xml:space="preserve">of </w:t>
      </w:r>
      <w:r>
        <w:rPr>
          <w:rFonts w:ascii="Times New Roman" w:hAnsi="Times New Roman" w:cs="Times New Roman"/>
          <w:sz w:val="28"/>
          <w:szCs w:val="28"/>
        </w:rPr>
        <w:t xml:space="preserve">data </w:t>
      </w:r>
      <w:r>
        <w:rPr>
          <w:rFonts w:ascii="Times New Roman" w:hAnsi="Times New Roman" w:cs="Times New Roman" w:hint="eastAsia"/>
          <w:sz w:val="28"/>
          <w:szCs w:val="28"/>
        </w:rPr>
        <w:t xml:space="preserve">quality </w:t>
      </w:r>
      <w:r>
        <w:rPr>
          <w:rFonts w:ascii="Times New Roman" w:hAnsi="Times New Roman" w:cs="Times New Roman"/>
          <w:sz w:val="28"/>
          <w:szCs w:val="28"/>
        </w:rPr>
        <w:t>requires consideration of two aspects: activity data categories and emission factor tiers. The average is calculated based on the weightings assigned to activity data classifications and emission factor classifications</w:t>
      </w:r>
      <w:r>
        <w:rPr>
          <w:rFonts w:ascii="Times New Roman" w:hAnsi="Times New Roman" w:cs="Times New Roman" w:hint="eastAsia"/>
          <w:sz w:val="28"/>
          <w:szCs w:val="28"/>
        </w:rPr>
        <w:t>,</w:t>
      </w:r>
      <w:r>
        <w:rPr>
          <w:rFonts w:ascii="Times New Roman" w:hAnsi="Times New Roman" w:cs="Times New Roman"/>
          <w:sz w:val="28"/>
          <w:szCs w:val="28"/>
        </w:rPr>
        <w:t xml:space="preserve"> then multiplied by the percentage of each emission source</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and finally summed to obtain the overall </w:t>
      </w:r>
      <w:r>
        <w:rPr>
          <w:rFonts w:ascii="Times New Roman" w:hAnsi="Times New Roman" w:cs="Times New Roman" w:hint="eastAsia"/>
          <w:sz w:val="28"/>
          <w:szCs w:val="28"/>
        </w:rPr>
        <w:t xml:space="preserve">data quality </w:t>
      </w:r>
      <w:r>
        <w:rPr>
          <w:rFonts w:ascii="Times New Roman" w:hAnsi="Times New Roman" w:cs="Times New Roman"/>
          <w:sz w:val="28"/>
          <w:szCs w:val="28"/>
        </w:rPr>
        <w:t xml:space="preserve">score. </w:t>
      </w:r>
    </w:p>
    <w:p w14:paraId="7F7AA2A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1) Activity data is divided into three categories based on collection type and assigned scores of 1, 3, and 6, respectively. As shown in Table 5-1:</w:t>
      </w:r>
    </w:p>
    <w:p w14:paraId="1EBDC9EA"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w:t>
      </w:r>
      <w:r>
        <w:rPr>
          <w:rFonts w:ascii="Times New Roman" w:hAnsi="Times New Roman" w:cs="Times New Roman"/>
          <w:b/>
          <w:bCs/>
          <w:sz w:val="24"/>
          <w:szCs w:val="24"/>
        </w:rPr>
        <w:t xml:space="preserve"> 5-1 Activity Data Weighting</w:t>
      </w:r>
    </w:p>
    <w:tbl>
      <w:tblPr>
        <w:tblStyle w:val="afa"/>
        <w:tblW w:w="0" w:type="auto"/>
        <w:tblLook w:val="04A0" w:firstRow="1" w:lastRow="0" w:firstColumn="1" w:lastColumn="0" w:noHBand="0" w:noVBand="1"/>
      </w:tblPr>
      <w:tblGrid>
        <w:gridCol w:w="4261"/>
        <w:gridCol w:w="4261"/>
      </w:tblGrid>
      <w:tr w:rsidR="002E68E2" w14:paraId="64907534" w14:textId="77777777">
        <w:trPr>
          <w:trHeight w:val="397"/>
        </w:trPr>
        <w:tc>
          <w:tcPr>
            <w:tcW w:w="4261" w:type="dxa"/>
            <w:shd w:val="clear" w:color="auto" w:fill="D8D8D8" w:themeFill="background1" w:themeFillShade="D8"/>
            <w:vAlign w:val="center"/>
          </w:tcPr>
          <w:p w14:paraId="71F7DE29"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Activity Data Category</w:t>
            </w:r>
          </w:p>
        </w:tc>
        <w:tc>
          <w:tcPr>
            <w:tcW w:w="4261" w:type="dxa"/>
            <w:shd w:val="clear" w:color="auto" w:fill="D8D8D8" w:themeFill="background1" w:themeFillShade="D8"/>
            <w:vAlign w:val="center"/>
          </w:tcPr>
          <w:p w14:paraId="4D12C80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Assigned Score</w:t>
            </w:r>
          </w:p>
        </w:tc>
      </w:tr>
      <w:tr w:rsidR="002E68E2" w14:paraId="5AD94F62" w14:textId="77777777">
        <w:trPr>
          <w:trHeight w:val="397"/>
        </w:trPr>
        <w:tc>
          <w:tcPr>
            <w:tcW w:w="4261" w:type="dxa"/>
            <w:vAlign w:val="center"/>
          </w:tcPr>
          <w:p w14:paraId="14ED42B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Automatic Continuous Measurement</w:t>
            </w:r>
          </w:p>
        </w:tc>
        <w:tc>
          <w:tcPr>
            <w:tcW w:w="4261" w:type="dxa"/>
            <w:vAlign w:val="center"/>
          </w:tcPr>
          <w:p w14:paraId="6D25B6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r>
      <w:tr w:rsidR="002E68E2" w14:paraId="774E5BEA" w14:textId="77777777">
        <w:trPr>
          <w:trHeight w:val="397"/>
        </w:trPr>
        <w:tc>
          <w:tcPr>
            <w:tcW w:w="4261" w:type="dxa"/>
            <w:vAlign w:val="center"/>
          </w:tcPr>
          <w:p w14:paraId="5DC74EB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Periodic Measurements (including meter reading)/Nameplate Data</w:t>
            </w:r>
          </w:p>
        </w:tc>
        <w:tc>
          <w:tcPr>
            <w:tcW w:w="4261" w:type="dxa"/>
            <w:vAlign w:val="center"/>
          </w:tcPr>
          <w:p w14:paraId="4223ED2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r>
      <w:tr w:rsidR="002E68E2" w14:paraId="4677AACA" w14:textId="77777777">
        <w:trPr>
          <w:trHeight w:val="397"/>
        </w:trPr>
        <w:tc>
          <w:tcPr>
            <w:tcW w:w="4261" w:type="dxa"/>
            <w:vAlign w:val="center"/>
          </w:tcPr>
          <w:p w14:paraId="142923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Self-estimation</w:t>
            </w:r>
          </w:p>
        </w:tc>
        <w:tc>
          <w:tcPr>
            <w:tcW w:w="4261" w:type="dxa"/>
            <w:vAlign w:val="center"/>
          </w:tcPr>
          <w:p w14:paraId="093B63F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r>
    </w:tbl>
    <w:p w14:paraId="77DFE4F7" w14:textId="77777777" w:rsidR="002E68E2" w:rsidRDefault="002E68E2">
      <w:pPr>
        <w:rPr>
          <w:rFonts w:ascii="Times New Roman" w:hAnsi="Times New Roman" w:cs="Times New Roman"/>
        </w:rPr>
      </w:pPr>
    </w:p>
    <w:p w14:paraId="635FD2E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2</w:t>
      </w:r>
      <w:r>
        <w:rPr>
          <w:rFonts w:ascii="Times New Roman" w:hAnsi="Times New Roman" w:cs="Times New Roman"/>
          <w:sz w:val="28"/>
          <w:szCs w:val="28"/>
        </w:rPr>
        <w:t xml:space="preserve">) Emission factor categories and tiers </w:t>
      </w:r>
      <w:r>
        <w:rPr>
          <w:rFonts w:ascii="Times New Roman" w:hAnsi="Times New Roman" w:cs="Times New Roman" w:hint="eastAsia"/>
          <w:sz w:val="28"/>
          <w:szCs w:val="28"/>
        </w:rPr>
        <w:t>are</w:t>
      </w:r>
      <w:r>
        <w:rPr>
          <w:rFonts w:ascii="Times New Roman" w:hAnsi="Times New Roman" w:cs="Times New Roman"/>
          <w:sz w:val="28"/>
          <w:szCs w:val="28"/>
        </w:rPr>
        <w:t xml:space="preserve"> classified into six categories based on data sources and assigned scores of 6, 5, 4, 3, 2, and 1, respectively, as shown in Table 5-2.</w:t>
      </w:r>
    </w:p>
    <w:p w14:paraId="6E2B262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w:t>
      </w:r>
      <w:r>
        <w:rPr>
          <w:rFonts w:ascii="Times New Roman" w:hAnsi="Times New Roman" w:cs="Times New Roman"/>
          <w:b/>
          <w:bCs/>
          <w:sz w:val="24"/>
          <w:szCs w:val="24"/>
        </w:rPr>
        <w:t xml:space="preserve"> 5-2 Activity Data Weighting</w:t>
      </w:r>
    </w:p>
    <w:tbl>
      <w:tblPr>
        <w:tblStyle w:val="afa"/>
        <w:tblW w:w="0" w:type="auto"/>
        <w:tblLook w:val="04A0" w:firstRow="1" w:lastRow="0" w:firstColumn="1" w:lastColumn="0" w:noHBand="0" w:noVBand="1"/>
      </w:tblPr>
      <w:tblGrid>
        <w:gridCol w:w="4261"/>
        <w:gridCol w:w="4261"/>
      </w:tblGrid>
      <w:tr w:rsidR="002E68E2" w14:paraId="72C223D6" w14:textId="77777777">
        <w:trPr>
          <w:trHeight w:val="397"/>
        </w:trPr>
        <w:tc>
          <w:tcPr>
            <w:tcW w:w="4261" w:type="dxa"/>
            <w:shd w:val="clear" w:color="auto" w:fill="D8D8D8" w:themeFill="background1" w:themeFillShade="D8"/>
            <w:vAlign w:val="center"/>
          </w:tcPr>
          <w:p w14:paraId="0863D3DB"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 Factor Categories</w:t>
            </w:r>
          </w:p>
        </w:tc>
        <w:tc>
          <w:tcPr>
            <w:tcW w:w="4261" w:type="dxa"/>
            <w:shd w:val="clear" w:color="auto" w:fill="D8D8D8" w:themeFill="background1" w:themeFillShade="D8"/>
            <w:vAlign w:val="center"/>
          </w:tcPr>
          <w:p w14:paraId="78C32DD4"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Assigned Points</w:t>
            </w:r>
          </w:p>
        </w:tc>
      </w:tr>
      <w:tr w:rsidR="002E68E2" w14:paraId="17A6C58E" w14:textId="77777777">
        <w:trPr>
          <w:trHeight w:val="397"/>
        </w:trPr>
        <w:tc>
          <w:tcPr>
            <w:tcW w:w="4261" w:type="dxa"/>
            <w:vAlign w:val="center"/>
          </w:tcPr>
          <w:p w14:paraId="1CE5B27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Factors Derived from Measurement/Mass Balance</w:t>
            </w:r>
          </w:p>
        </w:tc>
        <w:tc>
          <w:tcPr>
            <w:tcW w:w="4261" w:type="dxa"/>
            <w:vAlign w:val="center"/>
          </w:tcPr>
          <w:p w14:paraId="32FC647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r>
      <w:tr w:rsidR="002E68E2" w14:paraId="12EF247C" w14:textId="77777777">
        <w:trPr>
          <w:trHeight w:val="397"/>
        </w:trPr>
        <w:tc>
          <w:tcPr>
            <w:tcW w:w="4261" w:type="dxa"/>
            <w:vAlign w:val="center"/>
          </w:tcPr>
          <w:p w14:paraId="73F5A5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Empirical factors from the same process/equipment</w:t>
            </w:r>
          </w:p>
        </w:tc>
        <w:tc>
          <w:tcPr>
            <w:tcW w:w="4261" w:type="dxa"/>
            <w:vAlign w:val="center"/>
          </w:tcPr>
          <w:p w14:paraId="31D6A7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w:t>
            </w:r>
          </w:p>
        </w:tc>
      </w:tr>
      <w:tr w:rsidR="002E68E2" w14:paraId="646EB644" w14:textId="77777777">
        <w:trPr>
          <w:trHeight w:val="397"/>
        </w:trPr>
        <w:tc>
          <w:tcPr>
            <w:tcW w:w="4261" w:type="dxa"/>
            <w:vAlign w:val="center"/>
          </w:tcPr>
          <w:p w14:paraId="7B575C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Factors provided by the manufacturer</w:t>
            </w:r>
          </w:p>
        </w:tc>
        <w:tc>
          <w:tcPr>
            <w:tcW w:w="4261" w:type="dxa"/>
            <w:vAlign w:val="center"/>
          </w:tcPr>
          <w:p w14:paraId="618272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r>
      <w:tr w:rsidR="002E68E2" w14:paraId="5929125B" w14:textId="77777777">
        <w:trPr>
          <w:trHeight w:val="397"/>
        </w:trPr>
        <w:tc>
          <w:tcPr>
            <w:tcW w:w="4261" w:type="dxa"/>
            <w:vAlign w:val="center"/>
          </w:tcPr>
          <w:p w14:paraId="065349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Regional emission factor</w:t>
            </w:r>
          </w:p>
        </w:tc>
        <w:tc>
          <w:tcPr>
            <w:tcW w:w="4261" w:type="dxa"/>
            <w:vAlign w:val="center"/>
          </w:tcPr>
          <w:p w14:paraId="4446549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r>
      <w:tr w:rsidR="002E68E2" w14:paraId="7D5ADF0D" w14:textId="77777777">
        <w:trPr>
          <w:trHeight w:val="397"/>
        </w:trPr>
        <w:tc>
          <w:tcPr>
            <w:tcW w:w="4261" w:type="dxa"/>
            <w:vAlign w:val="center"/>
          </w:tcPr>
          <w:p w14:paraId="17B208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National emission factor</w:t>
            </w:r>
          </w:p>
        </w:tc>
        <w:tc>
          <w:tcPr>
            <w:tcW w:w="4261" w:type="dxa"/>
            <w:vAlign w:val="center"/>
          </w:tcPr>
          <w:p w14:paraId="23FEB4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r>
      <w:tr w:rsidR="002E68E2" w14:paraId="5960BF9E" w14:textId="77777777">
        <w:trPr>
          <w:trHeight w:val="397"/>
        </w:trPr>
        <w:tc>
          <w:tcPr>
            <w:tcW w:w="4261" w:type="dxa"/>
            <w:vAlign w:val="center"/>
          </w:tcPr>
          <w:p w14:paraId="222BF2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International emission factor</w:t>
            </w:r>
          </w:p>
        </w:tc>
        <w:tc>
          <w:tcPr>
            <w:tcW w:w="4261" w:type="dxa"/>
            <w:vAlign w:val="center"/>
          </w:tcPr>
          <w:p w14:paraId="0B04FCB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r>
    </w:tbl>
    <w:p w14:paraId="6FA3EBE2" w14:textId="77777777" w:rsidR="002E68E2" w:rsidRDefault="00000000">
      <w:pPr>
        <w:adjustRightInd w:val="0"/>
        <w:snapToGrid w:val="0"/>
        <w:spacing w:beforeLines="50" w:before="120"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lastRenderedPageBreak/>
        <w:t xml:space="preserve"> 3) </w:t>
      </w:r>
      <w:r>
        <w:rPr>
          <w:rFonts w:ascii="Times New Roman" w:hAnsi="Times New Roman" w:cs="Times New Roman"/>
          <w:sz w:val="28"/>
          <w:szCs w:val="28"/>
        </w:rPr>
        <w:t>Data quality is classified into five levels</w:t>
      </w:r>
      <w:r>
        <w:rPr>
          <w:rFonts w:ascii="Times New Roman" w:hAnsi="Times New Roman" w:cs="Times New Roman" w:hint="eastAsia"/>
          <w:sz w:val="28"/>
          <w:szCs w:val="28"/>
        </w:rPr>
        <w:t>, with</w:t>
      </w:r>
      <w:r>
        <w:rPr>
          <w:rFonts w:ascii="Times New Roman" w:hAnsi="Times New Roman" w:cs="Times New Roman"/>
          <w:sz w:val="28"/>
          <w:szCs w:val="28"/>
        </w:rPr>
        <w:t xml:space="preserve"> higher levels </w:t>
      </w:r>
      <w:r>
        <w:rPr>
          <w:rFonts w:ascii="Times New Roman" w:hAnsi="Times New Roman" w:cs="Times New Roman" w:hint="eastAsia"/>
          <w:sz w:val="28"/>
          <w:szCs w:val="28"/>
        </w:rPr>
        <w:t>indicating better</w:t>
      </w:r>
      <w:r>
        <w:rPr>
          <w:rFonts w:ascii="Times New Roman" w:hAnsi="Times New Roman" w:cs="Times New Roman"/>
          <w:sz w:val="28"/>
          <w:szCs w:val="28"/>
        </w:rPr>
        <w:t xml:space="preserve"> data quality</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The classification criteria are as follows: </w:t>
      </w:r>
      <w:r>
        <w:rPr>
          <w:rFonts w:ascii="Times New Roman" w:hAnsi="Times New Roman" w:cs="Times New Roman" w:hint="eastAsia"/>
          <w:sz w:val="28"/>
          <w:szCs w:val="28"/>
        </w:rPr>
        <w:t xml:space="preserve">Level 1 </w:t>
      </w:r>
      <w:r>
        <w:rPr>
          <w:rFonts w:ascii="Times New Roman" w:hAnsi="Times New Roman" w:cs="Times New Roman"/>
          <w:sz w:val="28"/>
          <w:szCs w:val="28"/>
        </w:rPr>
        <w:t xml:space="preserve">for an average score of ≥5.0; </w:t>
      </w:r>
      <w:r>
        <w:rPr>
          <w:rFonts w:ascii="Times New Roman" w:hAnsi="Times New Roman" w:cs="Times New Roman" w:hint="eastAsia"/>
          <w:sz w:val="28"/>
          <w:szCs w:val="28"/>
        </w:rPr>
        <w:t xml:space="preserve">Level 2 </w:t>
      </w:r>
      <w:r>
        <w:rPr>
          <w:rFonts w:ascii="Times New Roman" w:hAnsi="Times New Roman" w:cs="Times New Roman"/>
          <w:sz w:val="28"/>
          <w:szCs w:val="28"/>
        </w:rPr>
        <w:t xml:space="preserve">for 5.0 &gt; score ≥ 4.0; </w:t>
      </w:r>
      <w:r>
        <w:rPr>
          <w:rFonts w:ascii="Times New Roman" w:hAnsi="Times New Roman" w:cs="Times New Roman" w:hint="eastAsia"/>
          <w:sz w:val="28"/>
          <w:szCs w:val="28"/>
        </w:rPr>
        <w:t>Level 3</w:t>
      </w:r>
      <w:r>
        <w:rPr>
          <w:rFonts w:ascii="Times New Roman" w:hAnsi="Times New Roman" w:cs="Times New Roman"/>
          <w:sz w:val="28"/>
          <w:szCs w:val="28"/>
        </w:rPr>
        <w:t xml:space="preserve"> for 4.0 &gt; score ≥ 3.0; </w:t>
      </w:r>
      <w:r>
        <w:rPr>
          <w:rFonts w:ascii="Times New Roman" w:hAnsi="Times New Roman" w:cs="Times New Roman" w:hint="eastAsia"/>
          <w:sz w:val="28"/>
          <w:szCs w:val="28"/>
        </w:rPr>
        <w:t xml:space="preserve">Level 4 </w:t>
      </w:r>
      <w:r>
        <w:rPr>
          <w:rFonts w:ascii="Times New Roman" w:hAnsi="Times New Roman" w:cs="Times New Roman"/>
          <w:sz w:val="28"/>
          <w:szCs w:val="28"/>
        </w:rPr>
        <w:t xml:space="preserve">for 3.0 &gt; score ≥ 2.0; and </w:t>
      </w:r>
      <w:r>
        <w:rPr>
          <w:rFonts w:ascii="Times New Roman" w:hAnsi="Times New Roman" w:cs="Times New Roman" w:hint="eastAsia"/>
          <w:sz w:val="28"/>
          <w:szCs w:val="28"/>
        </w:rPr>
        <w:t>Level 5</w:t>
      </w:r>
      <w:r>
        <w:rPr>
          <w:rFonts w:ascii="Times New Roman" w:hAnsi="Times New Roman" w:cs="Times New Roman"/>
          <w:sz w:val="28"/>
          <w:szCs w:val="28"/>
        </w:rPr>
        <w:t xml:space="preserve"> for scores &lt; 2.0.</w:t>
      </w:r>
    </w:p>
    <w:p w14:paraId="7E9D34FC"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w:t>
      </w:r>
      <w:r>
        <w:rPr>
          <w:rFonts w:ascii="Times New Roman" w:hAnsi="Times New Roman" w:cs="Times New Roman"/>
          <w:b/>
          <w:bCs/>
          <w:sz w:val="24"/>
          <w:szCs w:val="24"/>
        </w:rPr>
        <w:t xml:space="preserve"> 5-3 Classification by Grade</w:t>
      </w:r>
    </w:p>
    <w:tbl>
      <w:tblPr>
        <w:tblW w:w="4921" w:type="dxa"/>
        <w:jc w:val="center"/>
        <w:shd w:val="clear" w:color="auto" w:fill="FFFFFF" w:themeFill="background1"/>
        <w:tblLook w:val="04A0" w:firstRow="1" w:lastRow="0" w:firstColumn="1" w:lastColumn="0" w:noHBand="0" w:noVBand="1"/>
      </w:tblPr>
      <w:tblGrid>
        <w:gridCol w:w="2717"/>
        <w:gridCol w:w="2204"/>
      </w:tblGrid>
      <w:tr w:rsidR="002E68E2" w14:paraId="685A778F" w14:textId="77777777">
        <w:trPr>
          <w:trHeight w:val="397"/>
          <w:jc w:val="center"/>
        </w:trPr>
        <w:tc>
          <w:tcPr>
            <w:tcW w:w="2716"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14:paraId="7006995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Grade</w:t>
            </w:r>
          </w:p>
        </w:tc>
        <w:tc>
          <w:tcPr>
            <w:tcW w:w="2204"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14:paraId="48365B54"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Score</w:t>
            </w:r>
          </w:p>
        </w:tc>
      </w:tr>
      <w:tr w:rsidR="002E68E2" w14:paraId="78713B5D" w14:textId="77777777">
        <w:trPr>
          <w:trHeight w:val="397"/>
          <w:jc w:val="center"/>
        </w:trPr>
        <w:tc>
          <w:tcPr>
            <w:tcW w:w="27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9A5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Level 1</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2B5B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&gt;=5.0</w:t>
            </w:r>
          </w:p>
        </w:tc>
      </w:tr>
      <w:tr w:rsidR="002E68E2" w14:paraId="1548A846"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F46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3FEB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&lt;5.0, &gt;=4.0</w:t>
            </w:r>
          </w:p>
        </w:tc>
      </w:tr>
      <w:tr w:rsidR="002E68E2" w14:paraId="07DF3AD3"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C4C3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B58C9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&lt;4.0, ≥3.0</w:t>
            </w:r>
          </w:p>
        </w:tc>
      </w:tr>
      <w:tr w:rsidR="002E68E2" w14:paraId="7B1671A5"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E06C7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AD294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&lt;3.0, ≥2.0</w:t>
            </w:r>
          </w:p>
        </w:tc>
      </w:tr>
      <w:tr w:rsidR="002E68E2" w14:paraId="6F68C60A"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12BEC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2CB6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&lt;2.0</w:t>
            </w:r>
          </w:p>
        </w:tc>
      </w:tr>
    </w:tbl>
    <w:p w14:paraId="21825A81" w14:textId="77777777" w:rsidR="002E68E2" w:rsidRDefault="00000000">
      <w:pPr>
        <w:pStyle w:val="20"/>
        <w:rPr>
          <w:sz w:val="28"/>
          <w:szCs w:val="28"/>
        </w:rPr>
      </w:pPr>
      <w:r>
        <w:rPr>
          <w:sz w:val="28"/>
          <w:szCs w:val="28"/>
        </w:rPr>
        <w:t xml:space="preserve"> </w:t>
      </w:r>
      <w:bookmarkStart w:id="66" w:name="_Toc29855"/>
      <w:bookmarkStart w:id="67" w:name="_Toc13515"/>
      <w:r>
        <w:rPr>
          <w:sz w:val="28"/>
          <w:szCs w:val="28"/>
        </w:rPr>
        <w:t>5.2 Assessment Results</w:t>
      </w:r>
      <w:bookmarkEnd w:id="66"/>
      <w:bookmarkEnd w:id="67"/>
    </w:p>
    <w:p w14:paraId="20D6DDD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Based on the</w:t>
      </w:r>
      <w:r>
        <w:rPr>
          <w:rFonts w:ascii="Times New Roman" w:hAnsi="Times New Roman" w:cs="Times New Roman" w:hint="eastAsia"/>
          <w:sz w:val="28"/>
          <w:szCs w:val="28"/>
        </w:rPr>
        <w:t xml:space="preserve"> data quality assessment </w:t>
      </w:r>
      <w:r>
        <w:rPr>
          <w:rFonts w:ascii="Times New Roman" w:hAnsi="Times New Roman" w:cs="Times New Roman"/>
          <w:sz w:val="28"/>
          <w:szCs w:val="28"/>
        </w:rPr>
        <w:t>results, the Company’s</w:t>
      </w:r>
      <w:r>
        <w:rPr>
          <w:rFonts w:ascii="Times New Roman" w:hAnsi="Times New Roman" w:cs="Times New Roman" w:hint="eastAsia"/>
          <w:sz w:val="28"/>
          <w:szCs w:val="28"/>
        </w:rPr>
        <w:t xml:space="preserve"> 2025 carbon inventory </w:t>
      </w:r>
      <w:r>
        <w:rPr>
          <w:rFonts w:ascii="Times New Roman" w:hAnsi="Times New Roman" w:cs="Times New Roman"/>
          <w:sz w:val="28"/>
          <w:szCs w:val="28"/>
        </w:rPr>
        <w:t xml:space="preserve">data quality </w:t>
      </w:r>
      <w:r>
        <w:rPr>
          <w:rFonts w:ascii="Times New Roman" w:hAnsi="Times New Roman" w:cs="Times New Roman" w:hint="eastAsia"/>
          <w:sz w:val="28"/>
          <w:szCs w:val="28"/>
        </w:rPr>
        <w:t>score is 3.1559, classified as Level 3. The specific data is shown in Table 5-4 below:</w:t>
      </w:r>
    </w:p>
    <w:p w14:paraId="6E09EFF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5-4 </w:t>
      </w:r>
      <w:r>
        <w:rPr>
          <w:rFonts w:ascii="Times New Roman" w:hAnsi="Times New Roman" w:cs="Times New Roman"/>
          <w:b/>
          <w:bCs/>
          <w:sz w:val="24"/>
          <w:szCs w:val="24"/>
        </w:rPr>
        <w:t xml:space="preserve">Data Quality Score Results </w:t>
      </w:r>
      <w:r>
        <w:rPr>
          <w:rFonts w:ascii="Times New Roman" w:hAnsi="Times New Roman" w:cs="Times New Roman" w:hint="eastAsia"/>
          <w:b/>
          <w:bCs/>
          <w:sz w:val="24"/>
          <w:szCs w:val="24"/>
        </w:rPr>
        <w:t>for</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w:instrText>
      </w:r>
      <w:r>
        <w:rPr>
          <w:rFonts w:ascii="Times New Roman" w:hAnsi="Times New Roman" w:cs="Times New Roman"/>
          <w:b/>
          <w:bCs/>
          <w:sz w:val="24"/>
          <w:szCs w:val="24"/>
        </w:rPr>
        <w:instrText>表格</w:instrText>
      </w:r>
      <w:r>
        <w:rPr>
          <w:rFonts w:ascii="Times New Roman" w:hAnsi="Times New Roman" w:cs="Times New Roman"/>
          <w:b/>
          <w:bCs/>
          <w:sz w:val="24"/>
          <w:szCs w:val="24"/>
        </w:rPr>
        <w:instrText xml:space="preserv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p>
    <w:tbl>
      <w:tblPr>
        <w:tblW w:w="6613" w:type="pct"/>
        <w:jc w:val="center"/>
        <w:tblLayout w:type="fixed"/>
        <w:tblLook w:val="04A0" w:firstRow="1" w:lastRow="0" w:firstColumn="1" w:lastColumn="0" w:noHBand="0" w:noVBand="1"/>
      </w:tblPr>
      <w:tblGrid>
        <w:gridCol w:w="832"/>
        <w:gridCol w:w="1386"/>
        <w:gridCol w:w="1858"/>
        <w:gridCol w:w="712"/>
        <w:gridCol w:w="806"/>
        <w:gridCol w:w="911"/>
        <w:gridCol w:w="829"/>
        <w:gridCol w:w="934"/>
        <w:gridCol w:w="1237"/>
        <w:gridCol w:w="968"/>
        <w:gridCol w:w="941"/>
      </w:tblGrid>
      <w:tr w:rsidR="002E68E2" w14:paraId="232FEECF" w14:textId="77777777">
        <w:trPr>
          <w:trHeight w:val="420"/>
          <w:tblHeade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0E48265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No.</w:t>
            </w:r>
          </w:p>
        </w:tc>
        <w:tc>
          <w:tcPr>
            <w:tcW w:w="607"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00F4577D"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Emissions Source</w:t>
            </w:r>
          </w:p>
        </w:tc>
        <w:tc>
          <w:tcPr>
            <w:tcW w:w="814"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38CD158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Corresponding Activity/Facility</w:t>
            </w:r>
          </w:p>
        </w:tc>
        <w:tc>
          <w:tcPr>
            <w:tcW w:w="31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BEA71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Activity Data</w:t>
            </w:r>
            <w:r>
              <w:rPr>
                <w:rFonts w:ascii="Times New Roman" w:hAnsi="Times New Roman" w:cs="Times New Roman" w:hint="eastAsia"/>
                <w:b/>
                <w:bCs/>
                <w:sz w:val="24"/>
                <w:szCs w:val="24"/>
              </w:rPr>
              <w:br/>
              <w:t xml:space="preserve"> Grade</w:t>
            </w:r>
          </w:p>
        </w:tc>
        <w:tc>
          <w:tcPr>
            <w:tcW w:w="35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1D0F9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 Factor</w:t>
            </w:r>
            <w:r>
              <w:rPr>
                <w:rFonts w:ascii="Times New Roman" w:hAnsi="Times New Roman" w:cs="Times New Roman" w:hint="eastAsia"/>
                <w:b/>
                <w:bCs/>
                <w:sz w:val="24"/>
                <w:szCs w:val="24"/>
              </w:rPr>
              <w:br/>
              <w:t xml:space="preserve"> Class</w:t>
            </w:r>
          </w:p>
        </w:tc>
        <w:tc>
          <w:tcPr>
            <w:tcW w:w="39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CED20A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Instrument Calibration Grade</w:t>
            </w:r>
          </w:p>
        </w:tc>
        <w:tc>
          <w:tcPr>
            <w:tcW w:w="36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00B657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Average Score</w:t>
            </w:r>
          </w:p>
        </w:tc>
        <w:tc>
          <w:tcPr>
            <w:tcW w:w="40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4141C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Data Grade</w:t>
            </w:r>
          </w:p>
        </w:tc>
        <w:tc>
          <w:tcPr>
            <w:tcW w:w="54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845EA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w:t>
            </w:r>
            <w:r>
              <w:rPr>
                <w:rFonts w:ascii="Times New Roman" w:hAnsi="Times New Roman" w:cs="Times New Roman"/>
                <w:b/>
                <w:bCs/>
                <w:sz w:val="24"/>
                <w:szCs w:val="24"/>
              </w:rPr>
              <w:t xml:space="preserve">t </w:t>
            </w:r>
            <w:r>
              <w:rPr>
                <w:rFonts w:ascii="Times New Roman" w:hAnsi="Times New Roman" w:cs="Times New Roman"/>
                <w:b/>
                <w:bCs/>
                <w:sz w:val="24"/>
                <w:szCs w:val="24"/>
                <w:vertAlign w:val="subscript"/>
              </w:rPr>
              <w:t>CO</w:t>
            </w:r>
            <w:r>
              <w:rPr>
                <w:rFonts w:ascii="Times New Roman" w:hAnsi="Times New Roman" w:cs="Times New Roman"/>
                <w:b/>
                <w:bCs/>
                <w:sz w:val="24"/>
                <w:szCs w:val="24"/>
              </w:rPr>
              <w:t>₂e</w:t>
            </w:r>
            <w:r>
              <w:rPr>
                <w:rFonts w:ascii="Times New Roman" w:hAnsi="Times New Roman" w:cs="Times New Roman" w:hint="eastAsia"/>
                <w:b/>
                <w:bCs/>
                <w:sz w:val="24"/>
                <w:szCs w:val="24"/>
              </w:rPr>
              <w:t>)</w:t>
            </w:r>
          </w:p>
        </w:tc>
        <w:tc>
          <w:tcPr>
            <w:tcW w:w="42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3123A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Percentage of Total Emissions</w:t>
            </w:r>
          </w:p>
        </w:tc>
        <w:tc>
          <w:tcPr>
            <w:tcW w:w="41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732CEA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Weighted Average Score</w:t>
            </w:r>
          </w:p>
        </w:tc>
      </w:tr>
      <w:tr w:rsidR="002E68E2" w14:paraId="682EF695"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0E94F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1A9DB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Gasoline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C4C294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Government vehicles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0D8224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EA8F19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248EC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2B3F7A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D2FECC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9B607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w:t>
            </w:r>
            <w:r>
              <w:rPr>
                <w:rFonts w:ascii="Times New Roman" w:hAnsi="Times New Roman" w:cs="Times New Roman" w:hint="eastAsia"/>
                <w:sz w:val="24"/>
                <w:szCs w:val="24"/>
              </w:rPr>
              <w:t xml:space="preserve">45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DD17F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90A38B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0.0039 </w:t>
            </w:r>
          </w:p>
        </w:tc>
      </w:tr>
      <w:tr w:rsidR="002E68E2" w14:paraId="7149FE1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6CB6A9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682A87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Diesel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D8572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Forklift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37876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F5B089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265A4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06106E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255336B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67FA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hint="eastAsia"/>
                <w:sz w:val="24"/>
                <w:szCs w:val="24"/>
              </w:rPr>
              <w:t>340</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4115D0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92A27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0.0004 </w:t>
            </w:r>
          </w:p>
        </w:tc>
      </w:tr>
      <w:tr w:rsidR="002E68E2" w14:paraId="2F63B44E"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EA5C0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7D6C9F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Refrigerant R32</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60FC0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 System</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5562DC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62701C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17B60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53F119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F91AC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80BB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3.22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FAF3AE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07339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0.0005 </w:t>
            </w:r>
          </w:p>
        </w:tc>
      </w:tr>
      <w:tr w:rsidR="002E68E2" w14:paraId="3217E75A"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F08DD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23362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Refrigerant R22</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84B9B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 System</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787BE4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D9B76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01046C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B790C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DF0B9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6F6595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16.95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3CD5F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8CB16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0.0026 </w:t>
            </w:r>
          </w:p>
        </w:tc>
      </w:tr>
      <w:tr w:rsidR="002E68E2" w14:paraId="042680E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A132A0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C3F5F0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Refrigerant R410a</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62E44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 System</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8112B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5C2C4A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C002C3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DAD0E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303BAD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2496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3BF493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0.06%</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C675B4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0.0014 </w:t>
            </w:r>
          </w:p>
        </w:tc>
      </w:tr>
      <w:tr w:rsidR="002E68E2" w14:paraId="419B374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42BCEE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FAE05A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Methane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21ADFC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Septic tank</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C07E3E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5BE21F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A2A5B9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608C6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9A41B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B077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12.40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7E57F9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0.08%</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A5C4A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0.0008 </w:t>
            </w:r>
          </w:p>
        </w:tc>
      </w:tr>
      <w:tr w:rsidR="002E68E2" w14:paraId="191CB27A"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AA4676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01F8E4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Based on location: Purchased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5A1BB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 for production, residential, and office equipment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89818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DE27A1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4727E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76BCC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D92B461" w14:textId="0B13A6BA"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2</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01EDCF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1,151.35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B0F76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7.52%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B38478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0.3512 </w:t>
            </w:r>
          </w:p>
        </w:tc>
      </w:tr>
      <w:tr w:rsidR="002E68E2" w14:paraId="11D32B1E"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CF7C1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7B9859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Fossil </w:t>
            </w:r>
            <w:r>
              <w:rPr>
                <w:rFonts w:ascii="Times New Roman" w:hAnsi="Times New Roman" w:cs="Times New Roman"/>
                <w:sz w:val="24"/>
                <w:szCs w:val="24"/>
              </w:rPr>
              <w:t>Fuels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34650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(air)</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B8012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B5139D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623F7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CEAC8E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62A8AF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228E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2.94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DB19F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249BC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0.0003 </w:t>
            </w:r>
          </w:p>
        </w:tc>
      </w:tr>
      <w:tr w:rsidR="002E68E2" w14:paraId="3D8C1E50"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6D29D2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88B9EF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F5E17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(train)</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7AD565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FD6651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EF18F7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4193C6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72EAD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4D089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F29269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8B9DE2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FAEF546"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373B9F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9B2A0A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4C947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(by car)</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8C92C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8B1A8E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2A949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375E4D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CD97D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A5E1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CC7E32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B6152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4391432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6043A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B3794B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E5184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(subway)</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841EB6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3F1EFB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38548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B3DD8C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EB194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A8F55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5DA067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837E6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6193B3D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6C982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6BA94B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Hotel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8B4DD6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Hotel Accommodations (Domestic)</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D9D8D5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044C1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8D1D5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4F4C4D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D30E9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883CB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33156D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6DE84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0.0003 </w:t>
            </w:r>
          </w:p>
        </w:tc>
      </w:tr>
      <w:tr w:rsidR="002E68E2" w14:paraId="78000D8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A67094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13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DDC089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D4359C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commuter vehicles (gasoline-powered sedans)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BD92DD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5BFA0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36B75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C95EED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EF867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9919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25.55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E69C7C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0.17%</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B21BA9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0.0017 </w:t>
            </w:r>
          </w:p>
        </w:tc>
      </w:tr>
      <w:tr w:rsidR="002E68E2" w14:paraId="222EA175"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51378E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7127B8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r>
              <w:rPr>
                <w:rFonts w:ascii="Times New Roman" w:hAnsi="Times New Roman" w:cs="Times New Roman" w:hint="eastAsia"/>
                <w:sz w:val="24"/>
                <w:szCs w:val="24"/>
              </w:rPr>
              <w:t>,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B18DD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commuter vehicles (plug-in sedans)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3E9F4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1679D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F23FED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2F496E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C4D43F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34B8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1.17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0852DA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03527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76D26710"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1F4C09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58E79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5DE49C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commuting </w:t>
            </w:r>
            <w:r>
              <w:rPr>
                <w:rFonts w:ascii="Times New Roman" w:hAnsi="Times New Roman" w:cs="Times New Roman"/>
                <w:sz w:val="24"/>
                <w:szCs w:val="24"/>
              </w:rPr>
              <w:lastRenderedPageBreak/>
              <w:t>vehicles (subway)</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BC1E52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88220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31C31D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BB0988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0D7B5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4D71A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0.62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C0E27B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616E16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0734C16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0C8BC9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FF69B9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2BB70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commuting vehicles (electric scooters)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BDBC8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9ABBFC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CE939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A4464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CCCCA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75012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0.31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EBA291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6C6E46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46462F7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DEC1D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62921B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30045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Raw materials and auxiliary materials Truck transport (trucks &lt;3T)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C6F55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62417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1B2465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F40CE2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43236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67F8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0C5FF9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6EABC4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7DB7726E"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D978D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A2698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5B47F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Raw materials and auxiliary materials Truck transport (trucks, 3.5–7.5 tons, Euro 5 (China 5))</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88568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103C5D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8C96B0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21C901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CCF94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7EC31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0.74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40E1B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C344E9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68693EF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1ADF11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90758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9CC89C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Raw materials and auxiliary materials Truck transport (trucks, 7.5–16 tons, Euro 5 (China 5))</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6CDC8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FA15D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C8CBC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E2B8C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7AA91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9B82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9DC2E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EF1417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2F4C7FBA"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8A116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6F62E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D54F4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Finished Goods Truck Transport (Trucks &lt;3T)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6F336DD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308DD0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614BB0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458A3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77A1F0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04B2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1.37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63F938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00AF45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514C9E3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4CCDF6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62A374A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3BEABF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Finished Goods Truck Transport (Trucks, 7.5–16 tons, Euro 6 (China 6))</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4D719C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B0426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939927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20B4E4A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6B5ADF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DEE26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13.78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B9F3E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0.09%</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73F452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0.0009 </w:t>
            </w:r>
          </w:p>
        </w:tc>
      </w:tr>
      <w:tr w:rsidR="002E68E2" w14:paraId="7A334E6B"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35E94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E830B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44EC7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Finished Goods Truck Transport (Trucks, 16–32 tons, Euro 6 (China 6))</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D383F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1DBA2C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201279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15921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236059F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678F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125.29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9EE76A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0.82%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C4A51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0.0082 </w:t>
            </w:r>
          </w:p>
        </w:tc>
      </w:tr>
      <w:tr w:rsidR="002E68E2" w14:paraId="67D0BD6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D5455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23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7603E3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23F27A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transport (trucks, 7.5–16 tons, Euro 6 (China 6))</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BE13E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B3733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FB350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D34F0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2F400D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D0C81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0.45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59802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39575B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CF7FBEE"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DFED1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3B5984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8A050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WTT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9404E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30028F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8303B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D578D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2CA8E80" w14:textId="52745DD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2</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C9A4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99.60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5B7F6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0.65%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D7F05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0.0282 </w:t>
            </w:r>
          </w:p>
        </w:tc>
      </w:tr>
      <w:tr w:rsidR="002E68E2" w14:paraId="00C11311"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08890F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22EDD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B02BB6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T&amp;D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2DC673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C715C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3F8CC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ABC54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5F046F0" w14:textId="02913043"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2</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DE60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8.61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726C7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0.06%</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5C48F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0.0024 </w:t>
            </w:r>
          </w:p>
        </w:tc>
      </w:tr>
      <w:tr w:rsidR="002E68E2" w14:paraId="6D90CF9D"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A051B3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0F0DA2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Gasoline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2ECF3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WTT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73BC1F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A8DE0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FE2B83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7C148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CFEBE23" w14:textId="65016D51"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D0FF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5.92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3DC755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0.04%</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B8D7A1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0.0009 </w:t>
            </w:r>
          </w:p>
        </w:tc>
      </w:tr>
      <w:tr w:rsidR="002E68E2" w14:paraId="59A99DBB"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6779BA6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3F047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Diesel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3F983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WTT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63391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351E4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7B8688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88EF5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F65B19D" w14:textId="488A9FA3"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5BAC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0.56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6FC3E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5E7D37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02E84E7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B14ECA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CC83E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Solar Cells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2100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222C2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A79C1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C0273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513AB9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EAB7FA7" w14:textId="6F86A05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4CE6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8,460.70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531161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55.30%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728CA5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1.4746 </w:t>
            </w:r>
          </w:p>
        </w:tc>
      </w:tr>
      <w:tr w:rsidR="002E68E2" w14:paraId="1F1EFCC0"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5170E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09A44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Silicone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48DB0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B06F73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54667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8FE4D2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EE2CA5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D78C757" w14:textId="6888F4D8"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D8431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238.48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375176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1.56%</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E0F61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0.0364 </w:t>
            </w:r>
          </w:p>
        </w:tc>
      </w:tr>
      <w:tr w:rsidR="002E68E2" w14:paraId="7035D19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2D31C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7E62C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Glass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44338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1CEFA6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C68218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1DAD3B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2F8083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05F0004" w14:textId="3E93DFF2"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9066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751.16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9BB2B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4.91%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C90205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0.1146 </w:t>
            </w:r>
          </w:p>
        </w:tc>
      </w:tr>
      <w:tr w:rsidR="002E68E2" w14:paraId="477E24BD"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BB6975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6D9172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Aluminum frame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15A53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153FCE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E1AF3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B0BBCA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C516D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AECF841" w14:textId="17967E38"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FCBF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2,081.82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E538AC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13.61%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5FEB5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0.3175 </w:t>
            </w:r>
          </w:p>
        </w:tc>
      </w:tr>
      <w:tr w:rsidR="002E68E2" w14:paraId="75501E65"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D54318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1FC5A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Welding strip</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16F73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117D5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A68356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AD566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7BF35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D81DF49" w14:textId="4186C944"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3</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5FCD5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806.34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85614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5.27%</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94DB61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0.1757 </w:t>
            </w:r>
          </w:p>
        </w:tc>
      </w:tr>
      <w:tr w:rsidR="002E68E2" w14:paraId="39461B8C"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DAAFA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364A3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Junction box</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6D7B61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C71D3D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5D8DB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B6911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8E31C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BC855F5" w14:textId="15DDC1F7"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963F1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164.03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20034B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1.07%</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CF25F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0.0250 </w:t>
            </w:r>
          </w:p>
        </w:tc>
      </w:tr>
      <w:tr w:rsidR="002E68E2" w14:paraId="36202A7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19B9B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99F0A5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EVA</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55B7D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w:t>
            </w:r>
            <w:r>
              <w:rPr>
                <w:rFonts w:ascii="Times New Roman" w:hAnsi="Times New Roman" w:cs="Times New Roman"/>
                <w:sz w:val="24"/>
                <w:szCs w:val="24"/>
              </w:rPr>
              <w:lastRenderedPageBreak/>
              <w:t>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61F4DF2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A22E8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8306D4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4DDA34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5CD83C7" w14:textId="2154BE1F"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84550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664.57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63E294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4.34%</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9C3585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0.1013 </w:t>
            </w:r>
          </w:p>
        </w:tc>
      </w:tr>
      <w:tr w:rsidR="002E68E2" w14:paraId="701005C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B09E7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60501A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Backplane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91C95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8AF373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4E5848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41A298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AB8DF6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15EB8A7" w14:textId="6D44A4CF"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9DE90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98.24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A574A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0.64%</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1C224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0.0150 </w:t>
            </w:r>
          </w:p>
        </w:tc>
      </w:tr>
      <w:tr w:rsidR="002E68E2" w14:paraId="1978793F"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1BA36B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FD14C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Packaging materials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B76F5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DAA28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3E2A6C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925F0C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F93924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B5FBBA2" w14:textId="32D57E3D"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AE09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133.99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9BC95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0.88%</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2AF48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0.0204 </w:t>
            </w:r>
          </w:p>
        </w:tc>
      </w:tr>
      <w:tr w:rsidR="002E68E2" w14:paraId="106C4F1A"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DD02EB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69D289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Municipal Water</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62B7B0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Municipal tap water supply</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D1BA8B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92440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EDAE8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F1A8AD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84CBEE8" w14:textId="58106D75"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344A6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0.59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BBAC6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75F5C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4DB90D52"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6235F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6158C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3BCC4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Production Equipment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BCC2C5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2CDA9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6E0C7B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85AAE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9E6D60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AD819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343.85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652515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F07EA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0.0599 </w:t>
            </w:r>
          </w:p>
        </w:tc>
      </w:tr>
      <w:tr w:rsidR="002E68E2" w14:paraId="36D64388"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F40E5B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7B8AE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30BB10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Vehicles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2943B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BB300C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D3211B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4DF4DA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5B2CD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88F6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33.42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C5EF3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0.22%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1A58B1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0.0058 </w:t>
            </w:r>
          </w:p>
        </w:tc>
      </w:tr>
      <w:tr w:rsidR="002E68E2" w14:paraId="161DA07B"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4E97F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CBF4D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20E69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Office furniture</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DE76B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20586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8F6D8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0CB82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A69AE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53D6F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7.39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26ABB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3992B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0.0013 </w:t>
            </w:r>
          </w:p>
        </w:tc>
      </w:tr>
      <w:tr w:rsidR="002E68E2" w14:paraId="57E5FFFC"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9A23AD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FB73D3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3B53AC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Computers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A9CDA8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E785F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AE1B4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FCB1F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E73591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2CBA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0ECDBA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0.03%</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9B460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0.0007 </w:t>
            </w:r>
          </w:p>
        </w:tc>
      </w:tr>
      <w:tr w:rsidR="002E68E2" w14:paraId="213A004B"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D9A545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4A1853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38138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Mobile</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F622B7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42A7C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CFDC9C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2F326B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C3FB0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5570C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2D46D5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A74785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0F0F314A"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92A10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6DD303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33B2C5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0208E1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BF736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5F3F21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2A9C6CA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DFFF63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9474E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1.16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D5526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6AFBDC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0.0002 </w:t>
            </w:r>
          </w:p>
        </w:tc>
      </w:tr>
      <w:tr w:rsidR="002E68E2" w14:paraId="75870FF2"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4E2A2B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58A62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8EF2F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General Solid Waste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AFDAF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137C4E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3895EF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80CA7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88AA8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6606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71644D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C5C8C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r>
      <w:tr w:rsidR="002E68E2" w14:paraId="5863B061"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97BA4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45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74FCC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Treatment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B66FF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Hazardous Waste (Incineration)</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95D5BA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D9118D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272B26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533833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43CE4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0BDDA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0.03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543616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4FC91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E14973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37252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3D0191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15FD2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Hazardous Waste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41DA92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0EF9BC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338143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96D0DB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7B371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13CC5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492DDF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15B13D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r>
      <w:tr w:rsidR="002E68E2" w14:paraId="41E0076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6F966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8D622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9E3B3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Paper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F7BF3B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1412C9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C585B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4B80B6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39A986F" w14:textId="5DF31F41"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D6934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EDC99B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0016D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A0A28E3"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A88F7F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39EDB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0693C8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Plastics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604461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A61719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74FA6D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5C153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4AE9425" w14:textId="44B517A6"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87646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C78AE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CCC05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7AFFC0CE"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2CF3D0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364B7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Treatment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D78C5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Dry Waste (General Waste) (Incineration)</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D308B6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A60AA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968F1C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A0FD0C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BC8732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F750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1E67E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29BB87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0699DC81"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094A5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19A695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Photovoltaic modules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BC6F66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AE8C8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F4EAE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87EC0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1A47D5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E69B9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0B464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093A4C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B2431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r>
      <w:tr w:rsidR="002E68E2" w14:paraId="1790D47E" w14:textId="77777777">
        <w:trPr>
          <w:trHeight w:val="420"/>
          <w:jc w:val="center"/>
        </w:trPr>
        <w:tc>
          <w:tcPr>
            <w:tcW w:w="4587" w:type="pct"/>
            <w:gridSpan w:val="10"/>
            <w:tcBorders>
              <w:top w:val="single" w:sz="4" w:space="0" w:color="000000"/>
              <w:left w:val="single" w:sz="4" w:space="0" w:color="000000"/>
              <w:bottom w:val="single" w:sz="4" w:space="0" w:color="000000"/>
              <w:right w:val="single" w:sz="4" w:space="0" w:color="000000"/>
            </w:tcBorders>
            <w:noWrap/>
            <w:vAlign w:val="center"/>
          </w:tcPr>
          <w:p w14:paraId="57AD05F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Overall Rating</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3CA00E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3.1559 </w:t>
            </w:r>
          </w:p>
        </w:tc>
      </w:tr>
      <w:tr w:rsidR="002E68E2" w14:paraId="2BEB7890" w14:textId="77777777">
        <w:trPr>
          <w:trHeight w:val="420"/>
          <w:jc w:val="center"/>
        </w:trPr>
        <w:tc>
          <w:tcPr>
            <w:tcW w:w="4587" w:type="pct"/>
            <w:gridSpan w:val="10"/>
            <w:tcBorders>
              <w:top w:val="single" w:sz="4" w:space="0" w:color="000000"/>
              <w:left w:val="single" w:sz="4" w:space="0" w:color="000000"/>
              <w:bottom w:val="single" w:sz="4" w:space="0" w:color="000000"/>
              <w:right w:val="single" w:sz="4" w:space="0" w:color="000000"/>
            </w:tcBorders>
            <w:noWrap/>
            <w:vAlign w:val="center"/>
          </w:tcPr>
          <w:p w14:paraId="2A3498F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Data Level</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EDC7E7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3</w:t>
            </w:r>
          </w:p>
        </w:tc>
      </w:tr>
    </w:tbl>
    <w:p w14:paraId="037CF90B" w14:textId="77777777" w:rsidR="002E68E2" w:rsidRDefault="00000000">
      <w:pPr>
        <w:pStyle w:val="20"/>
        <w:rPr>
          <w:sz w:val="28"/>
          <w:szCs w:val="28"/>
        </w:rPr>
      </w:pPr>
      <w:bookmarkStart w:id="68" w:name="_Toc14456"/>
      <w:r>
        <w:rPr>
          <w:sz w:val="28"/>
          <w:szCs w:val="28"/>
        </w:rPr>
        <w:t xml:space="preserve"> 5.</w:t>
      </w:r>
      <w:r>
        <w:rPr>
          <w:rFonts w:hint="eastAsia"/>
          <w:sz w:val="28"/>
          <w:szCs w:val="28"/>
        </w:rPr>
        <w:t>3 Data Quality Improvement Measures</w:t>
      </w:r>
      <w:bookmarkEnd w:id="68"/>
    </w:p>
    <w:p w14:paraId="6C6ACE7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Based on </w:t>
      </w:r>
      <w:r>
        <w:rPr>
          <w:rFonts w:ascii="Times New Roman" w:hAnsi="Times New Roman" w:cs="Times New Roman" w:hint="eastAsia"/>
          <w:sz w:val="28"/>
          <w:szCs w:val="28"/>
        </w:rPr>
        <w:t xml:space="preserve">the data quality assessment, </w:t>
      </w:r>
      <w:r>
        <w:rPr>
          <w:rFonts w:ascii="Times New Roman" w:hAnsi="Times New Roman" w:cs="Times New Roman"/>
          <w:sz w:val="28"/>
          <w:szCs w:val="28"/>
        </w:rPr>
        <w:t>the data quality of the Company’s 2025 carbon inventory is 3.</w:t>
      </w:r>
      <w:r>
        <w:rPr>
          <w:rFonts w:ascii="Times New Roman" w:hAnsi="Times New Roman" w:cs="Times New Roman" w:hint="eastAsia"/>
          <w:sz w:val="28"/>
          <w:szCs w:val="28"/>
        </w:rPr>
        <w:t xml:space="preserve">1559, </w:t>
      </w:r>
      <w:r>
        <w:rPr>
          <w:rFonts w:ascii="Times New Roman" w:hAnsi="Times New Roman" w:cs="Times New Roman"/>
          <w:sz w:val="28"/>
          <w:szCs w:val="28"/>
        </w:rPr>
        <w:t xml:space="preserve">classified as Level 3, with a rating of “Good.”Based on the data quality scores for each emission source, specific measures to improve data quality have been formulated to address issues such as a high proportion of self-estimated activity data, extensive use of international emission factors, and insufficient monitoring methods for certain emission sources. The assessment results will be applied to optimize the entire subsequent carbon inventory process, continuously improving the accuracy, </w:t>
      </w:r>
      <w:r>
        <w:rPr>
          <w:rFonts w:ascii="Times New Roman" w:hAnsi="Times New Roman" w:cs="Times New Roman"/>
          <w:sz w:val="28"/>
          <w:szCs w:val="28"/>
        </w:rPr>
        <w:lastRenderedPageBreak/>
        <w:t>completeness, and traceability of carbon emission calculation data, as detailed below:</w:t>
      </w:r>
    </w:p>
    <w:p w14:paraId="587FC9A1"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1) </w:t>
      </w:r>
      <w:r>
        <w:rPr>
          <w:rFonts w:ascii="Times New Roman" w:hAnsi="Times New Roman" w:cs="Times New Roman"/>
          <w:sz w:val="28"/>
          <w:szCs w:val="28"/>
        </w:rPr>
        <w:t>Optimize activity data collection methods</w:t>
      </w:r>
    </w:p>
    <w:p w14:paraId="3966FF0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For self-estimated activity data such as</w:t>
      </w:r>
      <w:r>
        <w:rPr>
          <w:rFonts w:ascii="Times New Roman" w:hAnsi="Times New Roman" w:cs="Times New Roman"/>
          <w:sz w:val="28"/>
          <w:szCs w:val="28"/>
          <w:vertAlign w:val="subscript"/>
        </w:rPr>
        <w:t>CH₄</w:t>
      </w:r>
      <w:r>
        <w:rPr>
          <w:rFonts w:ascii="Times New Roman" w:hAnsi="Times New Roman" w:cs="Times New Roman"/>
          <w:sz w:val="28"/>
          <w:szCs w:val="28"/>
        </w:rPr>
        <w:t>from septic tanks, employee commuting, business travel, and upstream/downstream transportation, establish a standardized data collection system: Install fuel consumption meters on company vehicles and forklifts to enable automatic, continuous measurement of gasoline and diesel consumption;Utilize the company’s attendance system, commuting surveys, and online check-in tools to accurately track the number of employees commuting, their distances, and modes of transportation; establish a supply chain transportation data ledger, requiring upstream and downstream partners to provide original documentation detailing cargo weight, mileage, and vehicle types to replace manual estimates; improve septic tank operation and maintenance records, regularly compiling foundational data on BOD generation to enhance data collection accuracy.</w:t>
      </w:r>
    </w:p>
    <w:p w14:paraId="3F528BB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2) </w:t>
      </w:r>
      <w:r>
        <w:rPr>
          <w:rFonts w:ascii="Times New Roman" w:hAnsi="Times New Roman" w:cs="Times New Roman"/>
          <w:sz w:val="28"/>
          <w:szCs w:val="28"/>
        </w:rPr>
        <w:t>Optimize emission factors and establish a localized factor database</w:t>
      </w:r>
    </w:p>
    <w:p w14:paraId="5CC6624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Reduce the use of international emission factors and prioritize domestic and regional emission factors: Collect domestic emission factors for specific subcategories within the photovoltaic industry and incorporate them into the company’s carbon accounting factor database to replace some international default values; For core raw materials such as solar cells, aluminum frames, and glass, require suppliers to provide measured carbon emission factors and gradually replace existing industry default values; Track the latest electricity and heat emission factors released by ecological and environmental authorities, promptly update the basis for calculations, and ensure the timeliness of the factors.</w:t>
      </w:r>
    </w:p>
    <w:p w14:paraId="41B4976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lastRenderedPageBreak/>
        <w:t xml:space="preserve"> 3) </w:t>
      </w:r>
      <w:r>
        <w:rPr>
          <w:rFonts w:ascii="Times New Roman" w:hAnsi="Times New Roman" w:cs="Times New Roman"/>
          <w:sz w:val="28"/>
          <w:szCs w:val="28"/>
        </w:rPr>
        <w:t>Improve the monitoring equipment and instrument calibration system</w:t>
      </w:r>
    </w:p>
    <w:p w14:paraId="482230C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Upgrade monitoring and calibration methods for emission sources such as air conditioning refrigerant leaks and purchased electricity: Conduct regular inspections of air conditioning and refrigeration equipment on the factory premises, record refrigerant charge and leakage data, and establish corresponding equipment operation and maintenance records;Conduct professional quarterly calibration of metering instruments for electricity and fuel consumption, retain calibration records, and ensure the accuracy of automated measurement data; establish a carbon emissions data collection ledger to achieve full-process traceability of activity data, emission factors, and calculation results.</w:t>
      </w:r>
    </w:p>
    <w:p w14:paraId="62B6FA2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4) </w:t>
      </w:r>
      <w:r>
        <w:rPr>
          <w:rFonts w:ascii="Times New Roman" w:hAnsi="Times New Roman" w:cs="Times New Roman"/>
          <w:sz w:val="28"/>
          <w:szCs w:val="28"/>
        </w:rPr>
        <w:t>Establish a Continuous Data Quality Improvement Mechanism</w:t>
      </w:r>
    </w:p>
    <w:p w14:paraId="20A736D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Incorporate data quality scores into carbon inventory performance evaluations; conduct quarterly self-inspections of data quality and track score changes across emission sources; after completing the annual carbon inventory, review issues in data collection and calculation in conjunction with uncertainty assessment results, update measures for improving data quality, and drive a gradual improvement in data quality ratings from “good” to “excellent.”</w:t>
      </w:r>
    </w:p>
    <w:p w14:paraId="49EF579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br w:type="page"/>
      </w:r>
    </w:p>
    <w:p w14:paraId="7E00A10F" w14:textId="77777777" w:rsidR="002E68E2" w:rsidRDefault="00000000">
      <w:pPr>
        <w:pStyle w:val="1"/>
        <w:rPr>
          <w:sz w:val="32"/>
          <w:szCs w:val="32"/>
        </w:rPr>
      </w:pPr>
      <w:r>
        <w:rPr>
          <w:sz w:val="32"/>
          <w:szCs w:val="32"/>
        </w:rPr>
        <w:lastRenderedPageBreak/>
        <w:t xml:space="preserve"> </w:t>
      </w:r>
      <w:bookmarkStart w:id="69" w:name="_Toc6492"/>
      <w:bookmarkStart w:id="70" w:name="_Toc9329"/>
      <w:r>
        <w:rPr>
          <w:sz w:val="32"/>
          <w:szCs w:val="32"/>
        </w:rPr>
        <w:t>6. Internal Verification of Greenhouse Gases</w:t>
      </w:r>
      <w:bookmarkEnd w:id="69"/>
      <w:bookmarkEnd w:id="70"/>
    </w:p>
    <w:p w14:paraId="792FAEC9"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 The company conducted an internal verification in March 2026.</w:t>
      </w:r>
    </w:p>
    <w:p w14:paraId="35515C6A" w14:textId="77777777" w:rsidR="002E68E2" w:rsidRDefault="00000000">
      <w:pPr>
        <w:pStyle w:val="1"/>
        <w:rPr>
          <w:sz w:val="32"/>
          <w:szCs w:val="32"/>
        </w:rPr>
      </w:pPr>
      <w:bookmarkStart w:id="71" w:name="_Toc6201"/>
      <w:r>
        <w:rPr>
          <w:sz w:val="32"/>
          <w:szCs w:val="32"/>
        </w:rPr>
        <w:t xml:space="preserve"> 7. </w:t>
      </w:r>
      <w:r>
        <w:rPr>
          <w:rFonts w:hint="eastAsia"/>
          <w:sz w:val="32"/>
          <w:szCs w:val="32"/>
        </w:rPr>
        <w:t>Emission Reduction Strategies</w:t>
      </w:r>
      <w:bookmarkEnd w:id="71"/>
    </w:p>
    <w:p w14:paraId="0D53310B" w14:textId="77777777" w:rsidR="002E68E2" w:rsidRDefault="00000000">
      <w:pPr>
        <w:pStyle w:val="20"/>
        <w:rPr>
          <w:sz w:val="28"/>
          <w:szCs w:val="28"/>
        </w:rPr>
      </w:pPr>
      <w:bookmarkStart w:id="72" w:name="_Toc32698"/>
      <w:r>
        <w:rPr>
          <w:sz w:val="28"/>
          <w:szCs w:val="28"/>
        </w:rPr>
        <w:t xml:space="preserve"> 7.1 Emissions Reduction Strategies</w:t>
      </w:r>
      <w:bookmarkEnd w:id="72"/>
    </w:p>
    <w:p w14:paraId="4B8D2100" w14:textId="77777777" w:rsidR="002E68E2" w:rsidRDefault="00000000">
      <w:pPr>
        <w:pStyle w:val="3"/>
        <w:rPr>
          <w:sz w:val="28"/>
          <w:szCs w:val="28"/>
        </w:rPr>
      </w:pPr>
      <w:bookmarkStart w:id="73" w:name="_Toc726"/>
      <w:r>
        <w:rPr>
          <w:rFonts w:hint="eastAsia"/>
          <w:sz w:val="28"/>
          <w:szCs w:val="28"/>
        </w:rPr>
        <w:t xml:space="preserve"> 7.1.1 Low-Carbon Transition</w:t>
      </w:r>
      <w:bookmarkEnd w:id="73"/>
    </w:p>
    <w:p w14:paraId="0037EB13"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 1) Increasing the Share of Renewable Electricity</w:t>
      </w:r>
    </w:p>
    <w:p w14:paraId="7C41E4DB"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actively reduces carbon dioxide emissions annually by utilizing renewable energy electricity through green power and green certificates. The company invests in and builds its own renewable energy systems, deploying photovoltaic panels on all suitable rooftops</w:t>
      </w:r>
      <w:r>
        <w:rPr>
          <w:rFonts w:ascii="Times New Roman" w:hAnsi="Times New Roman" w:cs="Times New Roman" w:hint="eastAsia"/>
          <w:sz w:val="28"/>
          <w:szCs w:val="28"/>
        </w:rPr>
        <w:t>—</w:t>
      </w:r>
      <w:r>
        <w:rPr>
          <w:rFonts w:ascii="Times New Roman" w:hAnsi="Times New Roman" w:cs="Times New Roman" w:hint="eastAsia"/>
          <w:sz w:val="28"/>
          <w:szCs w:val="28"/>
        </w:rPr>
        <w:t>including warehouses, new and existing office buildings, and employee dormitories</w:t>
      </w:r>
      <w:r>
        <w:rPr>
          <w:rFonts w:ascii="Times New Roman" w:hAnsi="Times New Roman" w:cs="Times New Roman" w:hint="eastAsia"/>
          <w:sz w:val="28"/>
          <w:szCs w:val="28"/>
        </w:rPr>
        <w:t>—</w:t>
      </w:r>
      <w:r>
        <w:rPr>
          <w:rFonts w:ascii="Times New Roman" w:hAnsi="Times New Roman" w:cs="Times New Roman" w:hint="eastAsia"/>
          <w:sz w:val="28"/>
          <w:szCs w:val="28"/>
        </w:rPr>
        <w:t>to replace high-emission power sources such as thermal power with renewable electricity and reduce the use of fossil fuels, thereby achieving emission reduction goals.</w:t>
      </w:r>
    </w:p>
    <w:p w14:paraId="06F5A52B"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 2) Reducing Greenhouse Gas Emissions Across the Product Lifecycle</w:t>
      </w:r>
    </w:p>
    <w:p w14:paraId="18CE0B03" w14:textId="3D710EAF"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has established a greenhouse gas emissions management system to responsibly manage emissions throughout the product lifecycle. We integrate environmental objectives into product lifecycle planning and production operations, </w:t>
      </w:r>
      <w:r w:rsidR="00A04763" w:rsidRPr="00A04763">
        <w:rPr>
          <w:rFonts w:ascii="Times New Roman" w:hAnsi="Times New Roman" w:cs="Times New Roman"/>
          <w:sz w:val="28"/>
          <w:szCs w:val="28"/>
        </w:rPr>
        <w:t>ensure traceability and control</w:t>
      </w:r>
      <w:r w:rsidR="00A04763">
        <w:rPr>
          <w:rFonts w:ascii="Times New Roman" w:hAnsi="Times New Roman" w:cs="Times New Roman" w:hint="eastAsia"/>
          <w:sz w:val="28"/>
          <w:szCs w:val="28"/>
        </w:rPr>
        <w:t xml:space="preserve"> </w:t>
      </w:r>
      <w:r w:rsidR="009F24D0">
        <w:rPr>
          <w:rFonts w:ascii="Times New Roman" w:hAnsi="Times New Roman" w:cs="Times New Roman" w:hint="eastAsia"/>
          <w:sz w:val="28"/>
          <w:szCs w:val="28"/>
        </w:rPr>
        <w:t>，</w:t>
      </w:r>
      <w:r>
        <w:rPr>
          <w:rFonts w:ascii="Times New Roman" w:hAnsi="Times New Roman" w:cs="Times New Roman" w:hint="eastAsia"/>
          <w:sz w:val="28"/>
          <w:szCs w:val="28"/>
        </w:rPr>
        <w:t>and carefully investigate and verify the environmental impact of every manufacturing stage involved in the product lifecycle.</w:t>
      </w:r>
    </w:p>
    <w:p w14:paraId="338921E5"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 3) Promoting Green Office Practices</w:t>
      </w:r>
    </w:p>
    <w:p w14:paraId="2EE623B0" w14:textId="1CD27552"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The company uses energy-efficient LED lighting and office equipment in its daily operations, provides training to employees on energy conservation </w:t>
      </w:r>
      <w:r>
        <w:rPr>
          <w:rFonts w:ascii="Times New Roman" w:hAnsi="Times New Roman" w:cs="Times New Roman" w:hint="eastAsia"/>
          <w:sz w:val="28"/>
          <w:szCs w:val="28"/>
        </w:rPr>
        <w:lastRenderedPageBreak/>
        <w:t xml:space="preserve">and emissions reduction, </w:t>
      </w:r>
      <w:r w:rsidR="00A04763" w:rsidRPr="00A04763">
        <w:rPr>
          <w:rFonts w:ascii="Times New Roman" w:hAnsi="Times New Roman" w:cs="Times New Roman"/>
          <w:sz w:val="28"/>
          <w:szCs w:val="28"/>
        </w:rPr>
        <w:t>encourages employees to print double-sided</w:t>
      </w:r>
      <w:r w:rsidR="00A04763">
        <w:rPr>
          <w:rFonts w:ascii="Times New Roman" w:hAnsi="Times New Roman" w:cs="Times New Roman" w:hint="eastAsia"/>
          <w:sz w:val="28"/>
          <w:szCs w:val="28"/>
        </w:rPr>
        <w:t xml:space="preserve"> </w:t>
      </w:r>
      <w:r w:rsidR="00A04763">
        <w:rPr>
          <w:rFonts w:ascii="Times New Roman" w:hAnsi="Times New Roman" w:cs="Times New Roman" w:hint="eastAsia"/>
          <w:sz w:val="28"/>
          <w:szCs w:val="28"/>
        </w:rPr>
        <w:t>，</w:t>
      </w:r>
      <w:r>
        <w:rPr>
          <w:rFonts w:ascii="Times New Roman" w:hAnsi="Times New Roman" w:cs="Times New Roman" w:hint="eastAsia"/>
          <w:sz w:val="28"/>
          <w:szCs w:val="28"/>
        </w:rPr>
        <w:t>promotes paperless offices, advocates for energy conservation, and uses telephone or video conferences to replace business travel. These measures raise employees</w:t>
      </w:r>
      <w:r>
        <w:rPr>
          <w:rFonts w:ascii="Times New Roman" w:hAnsi="Times New Roman" w:cs="Times New Roman" w:hint="eastAsia"/>
          <w:sz w:val="28"/>
          <w:szCs w:val="28"/>
        </w:rPr>
        <w:t>’</w:t>
      </w:r>
      <w:r>
        <w:rPr>
          <w:rFonts w:ascii="Times New Roman" w:hAnsi="Times New Roman" w:cs="Times New Roman" w:hint="eastAsia"/>
          <w:sz w:val="28"/>
          <w:szCs w:val="28"/>
        </w:rPr>
        <w:t xml:space="preserve"> awareness of energy conservation and environmental protection, effectively reducing carbon emissions from office activities.For daily office operations involving air conditioning and other cooling equipment, the company prioritizes the use of equipment with environmentally friendly refrigerants, reduces the use of traditional refrigerants, and significantly reduces emissions of greenhouse gases such as Freon.</w:t>
      </w:r>
    </w:p>
    <w:p w14:paraId="4DF3D414" w14:textId="77777777" w:rsidR="002E68E2" w:rsidRDefault="00000000">
      <w:pPr>
        <w:pStyle w:val="3"/>
        <w:rPr>
          <w:sz w:val="28"/>
          <w:szCs w:val="28"/>
        </w:rPr>
      </w:pPr>
      <w:bookmarkStart w:id="74" w:name="_Toc1556"/>
      <w:r>
        <w:rPr>
          <w:rFonts w:hint="eastAsia"/>
          <w:sz w:val="28"/>
          <w:szCs w:val="28"/>
        </w:rPr>
        <w:t xml:space="preserve"> 7.1.2 Building a Green Supply Chain</w:t>
      </w:r>
      <w:bookmarkEnd w:id="74"/>
    </w:p>
    <w:p w14:paraId="1E1BE58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1) Adhering to Green Procurement and Prioritizing Low-Carbon Suppliers</w:t>
      </w:r>
    </w:p>
    <w:p w14:paraId="2F4017FF"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Based on the supplier lifecycle management system, the company has established a supplier database to evaluate suppliers</w:t>
      </w:r>
      <w:r>
        <w:rPr>
          <w:rFonts w:ascii="Times New Roman" w:hAnsi="Times New Roman" w:cs="Times New Roman" w:hint="eastAsia"/>
          <w:sz w:val="28"/>
          <w:szCs w:val="28"/>
        </w:rPr>
        <w:t>’</w:t>
      </w:r>
      <w:r>
        <w:rPr>
          <w:rFonts w:ascii="Times New Roman" w:hAnsi="Times New Roman" w:cs="Times New Roman" w:hint="eastAsia"/>
          <w:sz w:val="28"/>
          <w:szCs w:val="28"/>
        </w:rPr>
        <w:t xml:space="preserve"> energy conservation and emissions reduction performance. We require suppliers to conduct self-assessments of their carbon footprints, prioritize, encourage, and recognize suppliers that use renewable energy, and elevate their partnership credit ratings. Long-term cooperation contracts signed with suppliers also include environmental clauses, requiring suppliers to prioritize energy conservation, emissions reduction, and environmental friendliness in their business practices, and to strive to minimize the harm caused by their production and business activities to the environment and natural resources.</w:t>
      </w:r>
    </w:p>
    <w:p w14:paraId="48E569D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2) Green Collaboration and Innovation</w:t>
      </w:r>
    </w:p>
    <w:p w14:paraId="2419BBD7"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Strengthening cooperation with suppliers: We establish long-term, stable partnerships with suppliers to jointly conduct green technology R&amp;D and innovation, driving the green transformation of the entire supply chain. </w:t>
      </w:r>
      <w:r>
        <w:rPr>
          <w:rFonts w:ascii="Times New Roman" w:hAnsi="Times New Roman" w:cs="Times New Roman" w:hint="eastAsia"/>
          <w:sz w:val="28"/>
          <w:szCs w:val="28"/>
        </w:rPr>
        <w:lastRenderedPageBreak/>
        <w:t>We organize supplier training and exchange activities to share green development experiences and best practices, thereby enhancing suppliers</w:t>
      </w:r>
      <w:r>
        <w:rPr>
          <w:rFonts w:ascii="Times New Roman" w:hAnsi="Times New Roman" w:cs="Times New Roman" w:hint="eastAsia"/>
          <w:sz w:val="28"/>
          <w:szCs w:val="28"/>
        </w:rPr>
        <w:t>’</w:t>
      </w:r>
      <w:r>
        <w:rPr>
          <w:rFonts w:ascii="Times New Roman" w:hAnsi="Times New Roman" w:cs="Times New Roman" w:hint="eastAsia"/>
          <w:sz w:val="28"/>
          <w:szCs w:val="28"/>
        </w:rPr>
        <w:t xml:space="preserve"> environmental awareness and capabilities.</w:t>
      </w:r>
      <w:r>
        <w:rPr>
          <w:rFonts w:ascii="Times New Roman" w:hAnsi="Times New Roman" w:cs="Times New Roman" w:hint="eastAsia"/>
          <w:sz w:val="28"/>
          <w:szCs w:val="28"/>
        </w:rPr>
        <w:br w:type="page"/>
      </w:r>
    </w:p>
    <w:p w14:paraId="0A47E812" w14:textId="77777777" w:rsidR="002E68E2" w:rsidRDefault="00000000">
      <w:pPr>
        <w:pStyle w:val="20"/>
        <w:rPr>
          <w:sz w:val="28"/>
          <w:szCs w:val="28"/>
        </w:rPr>
      </w:pPr>
      <w:r>
        <w:rPr>
          <w:sz w:val="28"/>
          <w:szCs w:val="28"/>
        </w:rPr>
        <w:lastRenderedPageBreak/>
        <w:t xml:space="preserve"> </w:t>
      </w:r>
      <w:bookmarkStart w:id="75" w:name="_Toc27223"/>
      <w:r>
        <w:rPr>
          <w:sz w:val="28"/>
          <w:szCs w:val="28"/>
        </w:rPr>
        <w:t>7.2 Implementation Guarantees for Emissions Reduction</w:t>
      </w:r>
      <w:bookmarkEnd w:id="75"/>
    </w:p>
    <w:p w14:paraId="039EC087" w14:textId="77777777" w:rsidR="002E68E2" w:rsidRDefault="00000000">
      <w:pPr>
        <w:pStyle w:val="3"/>
        <w:rPr>
          <w:sz w:val="28"/>
          <w:szCs w:val="28"/>
        </w:rPr>
      </w:pPr>
      <w:r>
        <w:rPr>
          <w:rFonts w:hint="eastAsia"/>
          <w:sz w:val="28"/>
          <w:szCs w:val="28"/>
        </w:rPr>
        <w:t xml:space="preserve"> </w:t>
      </w:r>
      <w:bookmarkStart w:id="76" w:name="_Toc30858"/>
      <w:r>
        <w:rPr>
          <w:rFonts w:hint="eastAsia"/>
          <w:sz w:val="28"/>
          <w:szCs w:val="28"/>
        </w:rPr>
        <w:t>7.2.1 Organizational Guarantees</w:t>
      </w:r>
      <w:bookmarkEnd w:id="76"/>
    </w:p>
    <w:p w14:paraId="7C4CA12E"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Establish a company-wide Carbon Emission Reduction Leading Group, headed by</w:t>
      </w:r>
      <w:r>
        <w:rPr>
          <w:rFonts w:ascii="Times New Roman" w:hAnsi="Times New Roman" w:cs="Times New Roman" w:hint="eastAsia"/>
          <w:sz w:val="28"/>
          <w:szCs w:val="28"/>
        </w:rPr>
        <w:t xml:space="preserve"> a manager familiar with the 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energy management and knowledgeable about the </w:t>
      </w:r>
      <w:r>
        <w:rPr>
          <w:rFonts w:ascii="Times New Roman" w:hAnsi="Times New Roman" w:cs="Times New Roman" w:hint="eastAsia"/>
          <w:sz w:val="28"/>
          <w:szCs w:val="28"/>
        </w:rPr>
        <w:t>“</w:t>
      </w:r>
      <w:r>
        <w:rPr>
          <w:rFonts w:ascii="Times New Roman" w:hAnsi="Times New Roman" w:cs="Times New Roman" w:hint="eastAsia"/>
          <w:sz w:val="28"/>
          <w:szCs w:val="28"/>
        </w:rPr>
        <w:t>dual carbon</w:t>
      </w:r>
      <w:r>
        <w:rPr>
          <w:rFonts w:ascii="Times New Roman" w:hAnsi="Times New Roman" w:cs="Times New Roman" w:hint="eastAsia"/>
          <w:sz w:val="28"/>
          <w:szCs w:val="28"/>
        </w:rPr>
        <w:t>”</w:t>
      </w:r>
      <w:r>
        <w:rPr>
          <w:rFonts w:ascii="Times New Roman" w:hAnsi="Times New Roman" w:cs="Times New Roman" w:hint="eastAsia"/>
          <w:sz w:val="28"/>
          <w:szCs w:val="28"/>
        </w:rPr>
        <w:t xml:space="preserve"> goals</w:t>
      </w:r>
      <w:r>
        <w:rPr>
          <w:rFonts w:ascii="Times New Roman" w:hAnsi="Times New Roman" w:cs="Times New Roman"/>
          <w:sz w:val="28"/>
          <w:szCs w:val="28"/>
        </w:rPr>
        <w:t>, with department heads serving as members to coordinate the implementation of emission reduction plans. The Performance Management Department will act as the lead department, responsible for breaking down emission reduction targets, tracking progress, and conducting performance evaluations. Each department will designate a dedicated individual to oversee its own emission reduction efforts, establishing a working mechanism where the “Leading Group coordinates, the lead department drives, and departments implement.”</w:t>
      </w:r>
    </w:p>
    <w:p w14:paraId="22D04D03" w14:textId="77777777" w:rsidR="002E68E2" w:rsidRDefault="00000000">
      <w:pPr>
        <w:pStyle w:val="3"/>
        <w:rPr>
          <w:sz w:val="28"/>
          <w:szCs w:val="28"/>
        </w:rPr>
      </w:pPr>
      <w:r>
        <w:rPr>
          <w:rFonts w:hint="eastAsia"/>
          <w:sz w:val="28"/>
          <w:szCs w:val="28"/>
        </w:rPr>
        <w:t xml:space="preserve"> </w:t>
      </w:r>
      <w:bookmarkStart w:id="77" w:name="_Toc20017"/>
      <w:r>
        <w:rPr>
          <w:rFonts w:hint="eastAsia"/>
          <w:sz w:val="28"/>
          <w:szCs w:val="28"/>
        </w:rPr>
        <w:t>7.2.2 Institutional Safeguards</w:t>
      </w:r>
      <w:bookmarkEnd w:id="77"/>
    </w:p>
    <w:p w14:paraId="2C2723C3"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Improve the company’s carbon reduction management systems by issuing </w:t>
      </w:r>
      <w:r>
        <w:rPr>
          <w:rFonts w:ascii="Times New Roman" w:hAnsi="Times New Roman" w:cs="Times New Roman" w:hint="eastAsia"/>
          <w:sz w:val="28"/>
          <w:szCs w:val="28"/>
        </w:rPr>
        <w:t>regulatory documents</w:t>
      </w:r>
      <w:r>
        <w:rPr>
          <w:rFonts w:ascii="Times New Roman" w:hAnsi="Times New Roman" w:cs="Times New Roman"/>
          <w:sz w:val="28"/>
          <w:szCs w:val="28"/>
        </w:rPr>
        <w:t xml:space="preserve"> such as the “Carbon Emissions Management Measures,” “Green Procurement Management Measures,” and “Green Office Management System.” Incorporate carbon reduction targets into the annual performance evaluations of all departments, establish specific carbon reduction performance indicators, and provide rewards to departments and individuals who meet their targets while holding those who fail to meet them accountable.</w:t>
      </w:r>
    </w:p>
    <w:p w14:paraId="7493C81A" w14:textId="77777777" w:rsidR="002E68E2" w:rsidRDefault="00000000">
      <w:pPr>
        <w:pStyle w:val="3"/>
        <w:rPr>
          <w:sz w:val="28"/>
          <w:szCs w:val="28"/>
        </w:rPr>
      </w:pPr>
      <w:r>
        <w:rPr>
          <w:rFonts w:hint="eastAsia"/>
          <w:sz w:val="28"/>
          <w:szCs w:val="28"/>
        </w:rPr>
        <w:t xml:space="preserve"> </w:t>
      </w:r>
      <w:bookmarkStart w:id="78" w:name="_Toc30954"/>
      <w:r>
        <w:rPr>
          <w:rFonts w:hint="eastAsia"/>
          <w:sz w:val="28"/>
          <w:szCs w:val="28"/>
        </w:rPr>
        <w:t>7.2.3 Technical and Financial Support</w:t>
      </w:r>
      <w:bookmarkEnd w:id="78"/>
    </w:p>
    <w:p w14:paraId="64708C99"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Establish a dedicated carbon reduction fund by allocating a certain percentage of the company’s annual profits to support initiatives such as the construction of in-house photovoltaic systems, energy-saving equipment </w:t>
      </w:r>
      <w:r>
        <w:rPr>
          <w:rFonts w:ascii="Times New Roman" w:hAnsi="Times New Roman" w:cs="Times New Roman"/>
          <w:sz w:val="28"/>
          <w:szCs w:val="28"/>
        </w:rPr>
        <w:lastRenderedPageBreak/>
        <w:t>upgrades, low-carbon R&amp;D, and low-carbon capacity building for suppliers; strengthen cooperation with universities, research institutions, and low-carbon technology enterprises to introduce advanced carbon accounting and emission reduction technologies, thereby providing technical support for the company’s carbon reduction efforts.</w:t>
      </w:r>
    </w:p>
    <w:p w14:paraId="4CCEACDD" w14:textId="77777777" w:rsidR="002E68E2" w:rsidRDefault="00000000">
      <w:pPr>
        <w:pStyle w:val="3"/>
        <w:rPr>
          <w:sz w:val="28"/>
          <w:szCs w:val="28"/>
        </w:rPr>
      </w:pPr>
      <w:r>
        <w:rPr>
          <w:rFonts w:hint="eastAsia"/>
          <w:sz w:val="28"/>
          <w:szCs w:val="28"/>
        </w:rPr>
        <w:t xml:space="preserve"> </w:t>
      </w:r>
      <w:bookmarkStart w:id="79" w:name="_Toc12387"/>
      <w:r>
        <w:rPr>
          <w:rFonts w:hint="eastAsia"/>
          <w:sz w:val="28"/>
          <w:szCs w:val="28"/>
        </w:rPr>
        <w:t>7.2.4 Monitoring and Evaluation Support</w:t>
      </w:r>
      <w:bookmarkEnd w:id="79"/>
    </w:p>
    <w:p w14:paraId="2FCA679D"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Establish a real-time greenhouse gas emissions monitoring system to collect and monitor data from Scope 1, Scope 2, and Scope 3 emission sources. Conduct quarterly carbon emissions accounting and analysis, and perform a comprehensive annual carbon inventory to compare progress against reduction targets and adjust mitigation measures as needed. Publish an annual corporate carbon reduction report to disclose progress and achievements to the public and accept social oversight.</w:t>
      </w:r>
    </w:p>
    <w:p w14:paraId="02F5B6E6" w14:textId="77777777" w:rsidR="002E68E2" w:rsidRDefault="00000000">
      <w:pPr>
        <w:pStyle w:val="3"/>
        <w:rPr>
          <w:sz w:val="28"/>
          <w:szCs w:val="28"/>
        </w:rPr>
      </w:pPr>
      <w:r>
        <w:rPr>
          <w:rFonts w:hint="eastAsia"/>
          <w:sz w:val="28"/>
          <w:szCs w:val="28"/>
        </w:rPr>
        <w:t xml:space="preserve"> </w:t>
      </w:r>
      <w:bookmarkStart w:id="80" w:name="_Toc29438"/>
      <w:r>
        <w:rPr>
          <w:rFonts w:hint="eastAsia"/>
          <w:sz w:val="28"/>
          <w:szCs w:val="28"/>
        </w:rPr>
        <w:t>7.2.5 Cultural and Personnel Support</w:t>
      </w:r>
      <w:bookmarkEnd w:id="80"/>
    </w:p>
    <w:p w14:paraId="27764643" w14:textId="30994AC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Integrate green and low-carbon concepts into corporate culture development. Promote green and low-carbon knowledge and education through various channels—including internal training, bulletin boards, and corporate social media accounts—to enhance emission reduction awareness among all employees. Organize themed activities such as green office practices and low-carbon commuting to encourage active employee participation in carbon reduction initiatives. Foster a corporate culture where “everyone advocates for low-carbon practices and every action embodies low-carbon principles,</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903B57" w:rsidRPr="00903B57">
        <w:rPr>
          <w:rFonts w:ascii="Times New Roman" w:hAnsi="Times New Roman" w:cs="Times New Roman"/>
          <w:sz w:val="28"/>
          <w:szCs w:val="28"/>
        </w:rPr>
        <w:t>ensuring that over 95% of employees demonstrate green and low-carbon awareness and actively participate in related initiatives</w:t>
      </w:r>
      <w:r>
        <w:rPr>
          <w:rFonts w:ascii="Times New Roman" w:hAnsi="Times New Roman" w:cs="Times New Roman"/>
          <w:sz w:val="28"/>
          <w:szCs w:val="28"/>
        </w:rPr>
        <w:t>.</w:t>
      </w:r>
    </w:p>
    <w:p w14:paraId="7F722E5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br w:type="page"/>
      </w:r>
    </w:p>
    <w:p w14:paraId="5A699534" w14:textId="77777777" w:rsidR="002E68E2" w:rsidRDefault="00000000">
      <w:pPr>
        <w:pStyle w:val="1"/>
        <w:rPr>
          <w:sz w:val="32"/>
          <w:szCs w:val="32"/>
        </w:rPr>
      </w:pPr>
      <w:bookmarkStart w:id="81" w:name="_Toc74"/>
      <w:bookmarkStart w:id="82" w:name="_Toc29738"/>
      <w:r>
        <w:rPr>
          <w:rFonts w:hint="eastAsia"/>
          <w:sz w:val="32"/>
          <w:szCs w:val="32"/>
        </w:rPr>
        <w:lastRenderedPageBreak/>
        <w:t xml:space="preserve"> 8</w:t>
      </w:r>
      <w:r>
        <w:rPr>
          <w:sz w:val="32"/>
          <w:szCs w:val="32"/>
        </w:rPr>
        <w:t>. Report Publication and Management</w:t>
      </w:r>
      <w:bookmarkEnd w:id="81"/>
      <w:bookmarkEnd w:id="82"/>
    </w:p>
    <w:p w14:paraId="1F8DC9A1"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This report was prepared by the Performance Management Department. </w:t>
      </w:r>
    </w:p>
    <w:p w14:paraId="1D7CE1E2"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This report is prepared in accordance with the requirements of the "Corporate Accounting and Reporting Standard" of the Greenhouse Gas Accounting Framework. </w:t>
      </w:r>
    </w:p>
    <w:p w14:paraId="5AF25E03"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This report is prepared annually, and the corresponding inventory should also be prepared annually; updated emission factors or quantification methods should be used as much as possible during the preparation process. Generally, a greenhouse gas inventory for the previous year is conducted at the beginning of each year, and a report is compiled. If the company</w:t>
      </w:r>
      <w:r>
        <w:rPr>
          <w:rFonts w:ascii="Times New Roman" w:hAnsi="Times New Roman" w:cs="Times New Roman" w:hint="eastAsia"/>
          <w:sz w:val="28"/>
          <w:szCs w:val="28"/>
        </w:rPr>
        <w:t>’</w:t>
      </w:r>
      <w:r>
        <w:rPr>
          <w:rFonts w:ascii="Times New Roman" w:hAnsi="Times New Roman" w:cs="Times New Roman" w:hint="eastAsia"/>
          <w:sz w:val="28"/>
          <w:szCs w:val="28"/>
        </w:rPr>
        <w:t xml:space="preserve">s operational boundaries change, a new greenhouse gas inventory must be organized immediately to determine whether the base year has changed, and a new inventory report must be prepared and published in accordance with established procedures. </w:t>
      </w:r>
    </w:p>
    <w:p w14:paraId="1F0D7ACC"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Report Contact</w:t>
      </w:r>
    </w:p>
    <w:p w14:paraId="632CB88D"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Contact Person: Wang Qifeng</w:t>
      </w:r>
    </w:p>
    <w:p w14:paraId="45B0EE43" w14:textId="121937D2"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Company: </w:t>
      </w:r>
      <w:r w:rsidR="00F51219" w:rsidRPr="00F51219">
        <w:rPr>
          <w:rFonts w:ascii="Times New Roman" w:hAnsi="Times New Roman" w:cs="Times New Roman"/>
          <w:sz w:val="28"/>
          <w:szCs w:val="28"/>
        </w:rPr>
        <w:t>Toenergy Technology Hangzhou Co.,Ltd</w:t>
      </w:r>
    </w:p>
    <w:p w14:paraId="2FB14F8A"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Department: Performance Management Department</w:t>
      </w:r>
    </w:p>
    <w:p w14:paraId="40453ABF"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Phone: 86-13588142650</w:t>
      </w:r>
    </w:p>
    <w:p w14:paraId="3AEB9484"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Address: No. 3 Gaoxin 9th Road, Qiaonan Block, Economic and Technological Development Zone, Xiaoshan District, Hangzhou, Zhejiang Province</w:t>
      </w:r>
    </w:p>
    <w:p w14:paraId="7AAD71B4" w14:textId="77777777" w:rsidR="002E68E2" w:rsidRDefault="002E68E2">
      <w:pPr>
        <w:spacing w:after="0" w:line="360" w:lineRule="auto"/>
        <w:ind w:firstLineChars="200" w:firstLine="480"/>
        <w:rPr>
          <w:rFonts w:ascii="Times New Roman" w:hAnsi="Times New Roman" w:cs="Times New Roman"/>
          <w:sz w:val="24"/>
          <w:szCs w:val="24"/>
        </w:rPr>
      </w:pPr>
    </w:p>
    <w:sectPr w:rsidR="002E68E2">
      <w:footerReference w:type="default" r:id="rId11"/>
      <w:pgSz w:w="12240" w:h="15840"/>
      <w:pgMar w:top="1440" w:right="1800" w:bottom="1440" w:left="1800" w:header="45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56B1" w14:textId="77777777" w:rsidR="00206087" w:rsidRDefault="00206087">
      <w:pPr>
        <w:spacing w:line="240" w:lineRule="auto"/>
      </w:pPr>
      <w:r>
        <w:separator/>
      </w:r>
    </w:p>
  </w:endnote>
  <w:endnote w:type="continuationSeparator" w:id="0">
    <w:p w14:paraId="4F2F5013" w14:textId="77777777" w:rsidR="00206087" w:rsidRDefault="00206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FKai-SB">
    <w:altName w:val="Microsoft JhengHei"/>
    <w:charset w:val="88"/>
    <w:family w:val="script"/>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98606"/>
    </w:sdtPr>
    <w:sdtContent>
      <w:p w14:paraId="13CE195F" w14:textId="77777777" w:rsidR="002E68E2" w:rsidRDefault="00000000">
        <w:pPr>
          <w:pStyle w:val="ac"/>
          <w:spacing w:before="120" w:after="120"/>
          <w:ind w:left="555"/>
          <w:jc w:val="center"/>
        </w:pPr>
        <w:r>
          <w:fldChar w:fldCharType="begin"/>
        </w:r>
        <w:r>
          <w:instrText xml:space="preserve"> PAGE   \* MERGEFORMAT </w:instrText>
        </w:r>
        <w:r>
          <w:fldChar w:fldCharType="separate"/>
        </w:r>
        <w:r>
          <w:t>2</w:t>
        </w:r>
        <w:r>
          <w:fldChar w:fldCharType="end"/>
        </w:r>
      </w:p>
    </w:sdtContent>
  </w:sdt>
  <w:p w14:paraId="64B018EB" w14:textId="77777777" w:rsidR="002E68E2" w:rsidRDefault="002E68E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38211"/>
    </w:sdtPr>
    <w:sdtEndPr>
      <w:rPr>
        <w:rFonts w:ascii="Times New Roman" w:hAnsi="Times New Roman" w:cs="Times New Roman"/>
      </w:rPr>
    </w:sdtEndPr>
    <w:sdtContent>
      <w:p w14:paraId="1A16BFBC" w14:textId="77777777" w:rsidR="002E68E2" w:rsidRDefault="00000000">
        <w:pPr>
          <w:pStyle w:val="ac"/>
          <w:spacing w:before="120" w:after="120"/>
          <w:ind w:left="55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75C64EE8" w14:textId="77777777" w:rsidR="002E68E2" w:rsidRDefault="002E68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3AFE" w14:textId="77777777" w:rsidR="00206087" w:rsidRDefault="00206087">
      <w:pPr>
        <w:spacing w:after="0"/>
      </w:pPr>
      <w:r>
        <w:separator/>
      </w:r>
    </w:p>
  </w:footnote>
  <w:footnote w:type="continuationSeparator" w:id="0">
    <w:p w14:paraId="16CFDDA3" w14:textId="77777777" w:rsidR="00206087" w:rsidRDefault="002060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3300" w14:textId="77777777" w:rsidR="002E68E2" w:rsidRDefault="002E68E2">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1B61"/>
    <w:multiLevelType w:val="multilevel"/>
    <w:tmpl w:val="17FE1B61"/>
    <w:lvl w:ilvl="0">
      <w:start w:val="1"/>
      <w:numFmt w:val="decimal"/>
      <w:pStyle w:val="a"/>
      <w:lvlText w:val="表%1."/>
      <w:lvlJc w:val="left"/>
      <w:pPr>
        <w:ind w:left="288" w:firstLine="72"/>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087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1MTM2YTRmNGZlZTk4ZjQ4ZmExZWUyYjZlM2M0ZmEifQ=="/>
  </w:docVars>
  <w:rsids>
    <w:rsidRoot w:val="00172A27"/>
    <w:rsid w:val="00002679"/>
    <w:rsid w:val="00003574"/>
    <w:rsid w:val="00005B8D"/>
    <w:rsid w:val="00013DB9"/>
    <w:rsid w:val="0002446A"/>
    <w:rsid w:val="00031D5E"/>
    <w:rsid w:val="00032AE5"/>
    <w:rsid w:val="00040CF4"/>
    <w:rsid w:val="00043B7D"/>
    <w:rsid w:val="00044059"/>
    <w:rsid w:val="00044A78"/>
    <w:rsid w:val="000450B6"/>
    <w:rsid w:val="000508D8"/>
    <w:rsid w:val="00050C0A"/>
    <w:rsid w:val="00051DA5"/>
    <w:rsid w:val="00051FA2"/>
    <w:rsid w:val="000572F4"/>
    <w:rsid w:val="00063AF5"/>
    <w:rsid w:val="00063E41"/>
    <w:rsid w:val="00065E76"/>
    <w:rsid w:val="00071F47"/>
    <w:rsid w:val="00073098"/>
    <w:rsid w:val="00077460"/>
    <w:rsid w:val="00084A36"/>
    <w:rsid w:val="00092479"/>
    <w:rsid w:val="0009411C"/>
    <w:rsid w:val="000B062A"/>
    <w:rsid w:val="000C28CA"/>
    <w:rsid w:val="000C3682"/>
    <w:rsid w:val="000C543D"/>
    <w:rsid w:val="000D064A"/>
    <w:rsid w:val="000D1F21"/>
    <w:rsid w:val="000D2AD1"/>
    <w:rsid w:val="000D5F62"/>
    <w:rsid w:val="000E4B86"/>
    <w:rsid w:val="000E58C4"/>
    <w:rsid w:val="000F0BD2"/>
    <w:rsid w:val="000F23FA"/>
    <w:rsid w:val="00101796"/>
    <w:rsid w:val="00101AA1"/>
    <w:rsid w:val="001038B8"/>
    <w:rsid w:val="001063E9"/>
    <w:rsid w:val="00107FE6"/>
    <w:rsid w:val="0011052D"/>
    <w:rsid w:val="0011565B"/>
    <w:rsid w:val="00115C1A"/>
    <w:rsid w:val="001222F8"/>
    <w:rsid w:val="00122B70"/>
    <w:rsid w:val="00127950"/>
    <w:rsid w:val="0013108C"/>
    <w:rsid w:val="00133BA4"/>
    <w:rsid w:val="001359A3"/>
    <w:rsid w:val="00140327"/>
    <w:rsid w:val="001421BE"/>
    <w:rsid w:val="00142FCB"/>
    <w:rsid w:val="001435EA"/>
    <w:rsid w:val="0014785F"/>
    <w:rsid w:val="001507AC"/>
    <w:rsid w:val="00155B23"/>
    <w:rsid w:val="001634E3"/>
    <w:rsid w:val="00172A27"/>
    <w:rsid w:val="001734B2"/>
    <w:rsid w:val="001741CB"/>
    <w:rsid w:val="00176951"/>
    <w:rsid w:val="00177E5A"/>
    <w:rsid w:val="00181D15"/>
    <w:rsid w:val="0019438F"/>
    <w:rsid w:val="00194E40"/>
    <w:rsid w:val="001A1DDB"/>
    <w:rsid w:val="001A30DD"/>
    <w:rsid w:val="001B3B27"/>
    <w:rsid w:val="001B6368"/>
    <w:rsid w:val="001C1323"/>
    <w:rsid w:val="001C1DAB"/>
    <w:rsid w:val="001C35D5"/>
    <w:rsid w:val="001C5781"/>
    <w:rsid w:val="001E0B9A"/>
    <w:rsid w:val="001E28D3"/>
    <w:rsid w:val="001F2671"/>
    <w:rsid w:val="001F7277"/>
    <w:rsid w:val="0020348D"/>
    <w:rsid w:val="00204A74"/>
    <w:rsid w:val="00206087"/>
    <w:rsid w:val="00206F92"/>
    <w:rsid w:val="00207C7F"/>
    <w:rsid w:val="00213E6E"/>
    <w:rsid w:val="002142C8"/>
    <w:rsid w:val="0021444D"/>
    <w:rsid w:val="00214B85"/>
    <w:rsid w:val="00214CB9"/>
    <w:rsid w:val="00226619"/>
    <w:rsid w:val="002272E9"/>
    <w:rsid w:val="002370A9"/>
    <w:rsid w:val="00243EBD"/>
    <w:rsid w:val="00247863"/>
    <w:rsid w:val="002548AD"/>
    <w:rsid w:val="00254A75"/>
    <w:rsid w:val="002568E7"/>
    <w:rsid w:val="002601F3"/>
    <w:rsid w:val="00262933"/>
    <w:rsid w:val="0026373D"/>
    <w:rsid w:val="00263EAE"/>
    <w:rsid w:val="0027205B"/>
    <w:rsid w:val="00272439"/>
    <w:rsid w:val="00275254"/>
    <w:rsid w:val="00280BFB"/>
    <w:rsid w:val="00285257"/>
    <w:rsid w:val="00286A86"/>
    <w:rsid w:val="002872C1"/>
    <w:rsid w:val="00293EE7"/>
    <w:rsid w:val="0029517A"/>
    <w:rsid w:val="002A2714"/>
    <w:rsid w:val="002A4992"/>
    <w:rsid w:val="002A6C31"/>
    <w:rsid w:val="002A75D3"/>
    <w:rsid w:val="002B0C86"/>
    <w:rsid w:val="002B7C66"/>
    <w:rsid w:val="002C270E"/>
    <w:rsid w:val="002C73BF"/>
    <w:rsid w:val="002D214D"/>
    <w:rsid w:val="002D2831"/>
    <w:rsid w:val="002D2C5E"/>
    <w:rsid w:val="002D3580"/>
    <w:rsid w:val="002D59FB"/>
    <w:rsid w:val="002D7EA9"/>
    <w:rsid w:val="002E09D2"/>
    <w:rsid w:val="002E2AA2"/>
    <w:rsid w:val="002E68E2"/>
    <w:rsid w:val="002E73F8"/>
    <w:rsid w:val="002F04AF"/>
    <w:rsid w:val="002F14DB"/>
    <w:rsid w:val="002F6D07"/>
    <w:rsid w:val="002F7D83"/>
    <w:rsid w:val="00303F0D"/>
    <w:rsid w:val="0030546A"/>
    <w:rsid w:val="003062F3"/>
    <w:rsid w:val="00311C08"/>
    <w:rsid w:val="00320FDF"/>
    <w:rsid w:val="00322213"/>
    <w:rsid w:val="00325A6A"/>
    <w:rsid w:val="00333A2A"/>
    <w:rsid w:val="00337A29"/>
    <w:rsid w:val="00341FA9"/>
    <w:rsid w:val="00344C2C"/>
    <w:rsid w:val="00345A6C"/>
    <w:rsid w:val="0035065A"/>
    <w:rsid w:val="003509AE"/>
    <w:rsid w:val="00354523"/>
    <w:rsid w:val="00354768"/>
    <w:rsid w:val="00354F68"/>
    <w:rsid w:val="00356ACA"/>
    <w:rsid w:val="00357A17"/>
    <w:rsid w:val="003604EC"/>
    <w:rsid w:val="0036101E"/>
    <w:rsid w:val="0036355B"/>
    <w:rsid w:val="003805FF"/>
    <w:rsid w:val="003806AB"/>
    <w:rsid w:val="00381F97"/>
    <w:rsid w:val="00391474"/>
    <w:rsid w:val="00391F36"/>
    <w:rsid w:val="00392015"/>
    <w:rsid w:val="003927CD"/>
    <w:rsid w:val="00395979"/>
    <w:rsid w:val="00396F20"/>
    <w:rsid w:val="003A3C58"/>
    <w:rsid w:val="003A7ACC"/>
    <w:rsid w:val="003B10D8"/>
    <w:rsid w:val="003B2AFD"/>
    <w:rsid w:val="003B43F7"/>
    <w:rsid w:val="003C1BB4"/>
    <w:rsid w:val="003C3611"/>
    <w:rsid w:val="003C70A6"/>
    <w:rsid w:val="003C739D"/>
    <w:rsid w:val="003D2A18"/>
    <w:rsid w:val="003D37AA"/>
    <w:rsid w:val="003D3854"/>
    <w:rsid w:val="003F3971"/>
    <w:rsid w:val="0040101F"/>
    <w:rsid w:val="00401CB9"/>
    <w:rsid w:val="00402179"/>
    <w:rsid w:val="0041213D"/>
    <w:rsid w:val="004139E7"/>
    <w:rsid w:val="00420812"/>
    <w:rsid w:val="00422759"/>
    <w:rsid w:val="00422A3E"/>
    <w:rsid w:val="00424125"/>
    <w:rsid w:val="00437F2F"/>
    <w:rsid w:val="00444CA3"/>
    <w:rsid w:val="00450BCA"/>
    <w:rsid w:val="004612BE"/>
    <w:rsid w:val="00463D41"/>
    <w:rsid w:val="00464943"/>
    <w:rsid w:val="00464DAE"/>
    <w:rsid w:val="0046636D"/>
    <w:rsid w:val="00471E7D"/>
    <w:rsid w:val="00472ED4"/>
    <w:rsid w:val="004744B1"/>
    <w:rsid w:val="004823AF"/>
    <w:rsid w:val="00483311"/>
    <w:rsid w:val="004837AE"/>
    <w:rsid w:val="00487351"/>
    <w:rsid w:val="004911EE"/>
    <w:rsid w:val="00493A9C"/>
    <w:rsid w:val="004B0949"/>
    <w:rsid w:val="004B550F"/>
    <w:rsid w:val="004C2C43"/>
    <w:rsid w:val="004C7402"/>
    <w:rsid w:val="004C7CEC"/>
    <w:rsid w:val="004D2155"/>
    <w:rsid w:val="004E38A1"/>
    <w:rsid w:val="004E564C"/>
    <w:rsid w:val="004F3ADF"/>
    <w:rsid w:val="00502694"/>
    <w:rsid w:val="005054FA"/>
    <w:rsid w:val="00517EDE"/>
    <w:rsid w:val="00526AF3"/>
    <w:rsid w:val="005301E3"/>
    <w:rsid w:val="00540BCD"/>
    <w:rsid w:val="00545CBE"/>
    <w:rsid w:val="00546A63"/>
    <w:rsid w:val="00547105"/>
    <w:rsid w:val="00557463"/>
    <w:rsid w:val="005611D4"/>
    <w:rsid w:val="00561FDF"/>
    <w:rsid w:val="005641BA"/>
    <w:rsid w:val="0056758E"/>
    <w:rsid w:val="00567C7C"/>
    <w:rsid w:val="00571FAC"/>
    <w:rsid w:val="00581AFE"/>
    <w:rsid w:val="00582AF5"/>
    <w:rsid w:val="0058588F"/>
    <w:rsid w:val="00585957"/>
    <w:rsid w:val="00592AC5"/>
    <w:rsid w:val="00592B35"/>
    <w:rsid w:val="00593401"/>
    <w:rsid w:val="00595728"/>
    <w:rsid w:val="005970FF"/>
    <w:rsid w:val="005A0A29"/>
    <w:rsid w:val="005A2423"/>
    <w:rsid w:val="005A51D4"/>
    <w:rsid w:val="005B0845"/>
    <w:rsid w:val="005B09E8"/>
    <w:rsid w:val="005B5EC6"/>
    <w:rsid w:val="005C4D0E"/>
    <w:rsid w:val="005C7C87"/>
    <w:rsid w:val="005D0272"/>
    <w:rsid w:val="005D7EBD"/>
    <w:rsid w:val="005E17AB"/>
    <w:rsid w:val="005E1E13"/>
    <w:rsid w:val="005E3260"/>
    <w:rsid w:val="005E343F"/>
    <w:rsid w:val="005E3EB5"/>
    <w:rsid w:val="005F0008"/>
    <w:rsid w:val="005F03FA"/>
    <w:rsid w:val="005F2928"/>
    <w:rsid w:val="00603E14"/>
    <w:rsid w:val="0060477E"/>
    <w:rsid w:val="00610C42"/>
    <w:rsid w:val="00612466"/>
    <w:rsid w:val="00614BFC"/>
    <w:rsid w:val="00616932"/>
    <w:rsid w:val="00631123"/>
    <w:rsid w:val="00632AB6"/>
    <w:rsid w:val="006402F7"/>
    <w:rsid w:val="006477FB"/>
    <w:rsid w:val="00647C65"/>
    <w:rsid w:val="00655CA2"/>
    <w:rsid w:val="006611B7"/>
    <w:rsid w:val="0066425C"/>
    <w:rsid w:val="00666573"/>
    <w:rsid w:val="00675646"/>
    <w:rsid w:val="006762FA"/>
    <w:rsid w:val="00677FF4"/>
    <w:rsid w:val="00683AF2"/>
    <w:rsid w:val="006847EC"/>
    <w:rsid w:val="00686ACD"/>
    <w:rsid w:val="00687A62"/>
    <w:rsid w:val="006901FB"/>
    <w:rsid w:val="006929C4"/>
    <w:rsid w:val="006A517D"/>
    <w:rsid w:val="006A7065"/>
    <w:rsid w:val="006A7819"/>
    <w:rsid w:val="006B0311"/>
    <w:rsid w:val="006B13B1"/>
    <w:rsid w:val="006B4468"/>
    <w:rsid w:val="006B7261"/>
    <w:rsid w:val="006C02A9"/>
    <w:rsid w:val="006C0448"/>
    <w:rsid w:val="006C0DF6"/>
    <w:rsid w:val="006C2018"/>
    <w:rsid w:val="006D01FB"/>
    <w:rsid w:val="006D05C6"/>
    <w:rsid w:val="006D124E"/>
    <w:rsid w:val="006D4C30"/>
    <w:rsid w:val="006D7143"/>
    <w:rsid w:val="006E02D4"/>
    <w:rsid w:val="006F53D1"/>
    <w:rsid w:val="00700CD5"/>
    <w:rsid w:val="00716A83"/>
    <w:rsid w:val="0072421F"/>
    <w:rsid w:val="007244EC"/>
    <w:rsid w:val="00732B77"/>
    <w:rsid w:val="0073422D"/>
    <w:rsid w:val="00736573"/>
    <w:rsid w:val="00746E75"/>
    <w:rsid w:val="0075051A"/>
    <w:rsid w:val="00751A51"/>
    <w:rsid w:val="00751EC1"/>
    <w:rsid w:val="007579FD"/>
    <w:rsid w:val="007619B2"/>
    <w:rsid w:val="00763F4E"/>
    <w:rsid w:val="007648F6"/>
    <w:rsid w:val="0076534B"/>
    <w:rsid w:val="00765E6C"/>
    <w:rsid w:val="00771E23"/>
    <w:rsid w:val="0078345E"/>
    <w:rsid w:val="00783F72"/>
    <w:rsid w:val="00792FBE"/>
    <w:rsid w:val="00794664"/>
    <w:rsid w:val="007B106F"/>
    <w:rsid w:val="007B7387"/>
    <w:rsid w:val="007B79BD"/>
    <w:rsid w:val="007D7CA1"/>
    <w:rsid w:val="007E0DD1"/>
    <w:rsid w:val="007E2B78"/>
    <w:rsid w:val="007E4AF6"/>
    <w:rsid w:val="007E4BB0"/>
    <w:rsid w:val="007E4CA5"/>
    <w:rsid w:val="007F6306"/>
    <w:rsid w:val="008003F4"/>
    <w:rsid w:val="00806C8D"/>
    <w:rsid w:val="008102BC"/>
    <w:rsid w:val="008124BD"/>
    <w:rsid w:val="008154BF"/>
    <w:rsid w:val="0081634B"/>
    <w:rsid w:val="00820C76"/>
    <w:rsid w:val="00824CAC"/>
    <w:rsid w:val="008265D2"/>
    <w:rsid w:val="008300E9"/>
    <w:rsid w:val="00835B37"/>
    <w:rsid w:val="0085054F"/>
    <w:rsid w:val="00854EDA"/>
    <w:rsid w:val="00856C36"/>
    <w:rsid w:val="00857771"/>
    <w:rsid w:val="00860AFE"/>
    <w:rsid w:val="008664E9"/>
    <w:rsid w:val="00867425"/>
    <w:rsid w:val="00870BB0"/>
    <w:rsid w:val="00872A81"/>
    <w:rsid w:val="00872BFC"/>
    <w:rsid w:val="00875E65"/>
    <w:rsid w:val="00880FAF"/>
    <w:rsid w:val="00881CDD"/>
    <w:rsid w:val="0088296F"/>
    <w:rsid w:val="0088623C"/>
    <w:rsid w:val="00886529"/>
    <w:rsid w:val="008914C7"/>
    <w:rsid w:val="008A4879"/>
    <w:rsid w:val="008B034D"/>
    <w:rsid w:val="008B19F2"/>
    <w:rsid w:val="008B2502"/>
    <w:rsid w:val="008B5253"/>
    <w:rsid w:val="008B5DE3"/>
    <w:rsid w:val="008C5DA3"/>
    <w:rsid w:val="008C5F84"/>
    <w:rsid w:val="008C7AC5"/>
    <w:rsid w:val="008D164D"/>
    <w:rsid w:val="008D18E6"/>
    <w:rsid w:val="008D43BF"/>
    <w:rsid w:val="008E3065"/>
    <w:rsid w:val="008F3726"/>
    <w:rsid w:val="008F622A"/>
    <w:rsid w:val="00903667"/>
    <w:rsid w:val="00903B57"/>
    <w:rsid w:val="009059C9"/>
    <w:rsid w:val="00914051"/>
    <w:rsid w:val="00916887"/>
    <w:rsid w:val="009172E9"/>
    <w:rsid w:val="009265F7"/>
    <w:rsid w:val="0094184C"/>
    <w:rsid w:val="00954C53"/>
    <w:rsid w:val="009558F2"/>
    <w:rsid w:val="00963C7C"/>
    <w:rsid w:val="0096596B"/>
    <w:rsid w:val="00966B4D"/>
    <w:rsid w:val="009718A6"/>
    <w:rsid w:val="00975CFA"/>
    <w:rsid w:val="00976A7B"/>
    <w:rsid w:val="00980DC0"/>
    <w:rsid w:val="00985B4F"/>
    <w:rsid w:val="009948EF"/>
    <w:rsid w:val="00995B3D"/>
    <w:rsid w:val="00997207"/>
    <w:rsid w:val="009A1458"/>
    <w:rsid w:val="009A24C1"/>
    <w:rsid w:val="009B39FD"/>
    <w:rsid w:val="009B4D84"/>
    <w:rsid w:val="009B68E3"/>
    <w:rsid w:val="009C6DE0"/>
    <w:rsid w:val="009D4DF5"/>
    <w:rsid w:val="009D5F3E"/>
    <w:rsid w:val="009E2B1A"/>
    <w:rsid w:val="009E4B20"/>
    <w:rsid w:val="009F03FB"/>
    <w:rsid w:val="009F074D"/>
    <w:rsid w:val="009F24D0"/>
    <w:rsid w:val="009F2BA4"/>
    <w:rsid w:val="009F35A1"/>
    <w:rsid w:val="009F47A8"/>
    <w:rsid w:val="009F6F0F"/>
    <w:rsid w:val="00A001DB"/>
    <w:rsid w:val="00A04763"/>
    <w:rsid w:val="00A14B52"/>
    <w:rsid w:val="00A211B0"/>
    <w:rsid w:val="00A31FF7"/>
    <w:rsid w:val="00A36081"/>
    <w:rsid w:val="00A412ED"/>
    <w:rsid w:val="00A4272E"/>
    <w:rsid w:val="00A50839"/>
    <w:rsid w:val="00A51C17"/>
    <w:rsid w:val="00A55103"/>
    <w:rsid w:val="00A56658"/>
    <w:rsid w:val="00A56BA5"/>
    <w:rsid w:val="00A6175E"/>
    <w:rsid w:val="00A628CD"/>
    <w:rsid w:val="00A6605A"/>
    <w:rsid w:val="00A7040D"/>
    <w:rsid w:val="00A728B8"/>
    <w:rsid w:val="00A87413"/>
    <w:rsid w:val="00A91F14"/>
    <w:rsid w:val="00A968D2"/>
    <w:rsid w:val="00A96EDB"/>
    <w:rsid w:val="00AA3829"/>
    <w:rsid w:val="00AA470B"/>
    <w:rsid w:val="00AB1198"/>
    <w:rsid w:val="00AB490E"/>
    <w:rsid w:val="00AB53BB"/>
    <w:rsid w:val="00AB7ECA"/>
    <w:rsid w:val="00AC3925"/>
    <w:rsid w:val="00AC3DBE"/>
    <w:rsid w:val="00AD2AEF"/>
    <w:rsid w:val="00AD3650"/>
    <w:rsid w:val="00AD5C80"/>
    <w:rsid w:val="00AD750B"/>
    <w:rsid w:val="00AE2151"/>
    <w:rsid w:val="00AE3E24"/>
    <w:rsid w:val="00AE47E2"/>
    <w:rsid w:val="00AF1830"/>
    <w:rsid w:val="00B01BFB"/>
    <w:rsid w:val="00B03219"/>
    <w:rsid w:val="00B0335F"/>
    <w:rsid w:val="00B05B7B"/>
    <w:rsid w:val="00B22731"/>
    <w:rsid w:val="00B266D2"/>
    <w:rsid w:val="00B27555"/>
    <w:rsid w:val="00B3432B"/>
    <w:rsid w:val="00B35991"/>
    <w:rsid w:val="00B404C1"/>
    <w:rsid w:val="00B515FD"/>
    <w:rsid w:val="00B56857"/>
    <w:rsid w:val="00B6277D"/>
    <w:rsid w:val="00B70932"/>
    <w:rsid w:val="00B8101A"/>
    <w:rsid w:val="00B8625B"/>
    <w:rsid w:val="00B87BF8"/>
    <w:rsid w:val="00B920F6"/>
    <w:rsid w:val="00B95CCA"/>
    <w:rsid w:val="00B963C7"/>
    <w:rsid w:val="00B976FE"/>
    <w:rsid w:val="00BA2E08"/>
    <w:rsid w:val="00BA3C9F"/>
    <w:rsid w:val="00BA53A0"/>
    <w:rsid w:val="00BB2D29"/>
    <w:rsid w:val="00BC20A5"/>
    <w:rsid w:val="00BD1A4A"/>
    <w:rsid w:val="00BD6A7F"/>
    <w:rsid w:val="00BE4107"/>
    <w:rsid w:val="00BE451E"/>
    <w:rsid w:val="00BE4CC0"/>
    <w:rsid w:val="00BE5EB7"/>
    <w:rsid w:val="00BE5ED5"/>
    <w:rsid w:val="00BE73EA"/>
    <w:rsid w:val="00BF627E"/>
    <w:rsid w:val="00BF6645"/>
    <w:rsid w:val="00C00457"/>
    <w:rsid w:val="00C016DC"/>
    <w:rsid w:val="00C07AEA"/>
    <w:rsid w:val="00C13341"/>
    <w:rsid w:val="00C20E5D"/>
    <w:rsid w:val="00C27021"/>
    <w:rsid w:val="00C352CD"/>
    <w:rsid w:val="00C37E5B"/>
    <w:rsid w:val="00C40110"/>
    <w:rsid w:val="00C409A4"/>
    <w:rsid w:val="00C4344D"/>
    <w:rsid w:val="00C447EE"/>
    <w:rsid w:val="00C45C01"/>
    <w:rsid w:val="00C4638B"/>
    <w:rsid w:val="00C4737B"/>
    <w:rsid w:val="00C650B4"/>
    <w:rsid w:val="00C66751"/>
    <w:rsid w:val="00C754D6"/>
    <w:rsid w:val="00C75FD4"/>
    <w:rsid w:val="00C81D67"/>
    <w:rsid w:val="00C820EE"/>
    <w:rsid w:val="00C84A32"/>
    <w:rsid w:val="00C85747"/>
    <w:rsid w:val="00CA13FD"/>
    <w:rsid w:val="00CB3D5D"/>
    <w:rsid w:val="00CC16CA"/>
    <w:rsid w:val="00CC6B1F"/>
    <w:rsid w:val="00CD2EF9"/>
    <w:rsid w:val="00CD3482"/>
    <w:rsid w:val="00CD37A9"/>
    <w:rsid w:val="00CD6565"/>
    <w:rsid w:val="00CD7A3C"/>
    <w:rsid w:val="00CF1A3F"/>
    <w:rsid w:val="00CF71E0"/>
    <w:rsid w:val="00D05FCB"/>
    <w:rsid w:val="00D17A4B"/>
    <w:rsid w:val="00D229E1"/>
    <w:rsid w:val="00D23B35"/>
    <w:rsid w:val="00D34952"/>
    <w:rsid w:val="00D3623D"/>
    <w:rsid w:val="00D40941"/>
    <w:rsid w:val="00D507E6"/>
    <w:rsid w:val="00D51718"/>
    <w:rsid w:val="00D60103"/>
    <w:rsid w:val="00D60E5B"/>
    <w:rsid w:val="00D71FDD"/>
    <w:rsid w:val="00D77274"/>
    <w:rsid w:val="00D81463"/>
    <w:rsid w:val="00D81C63"/>
    <w:rsid w:val="00D83470"/>
    <w:rsid w:val="00D83B0B"/>
    <w:rsid w:val="00D84B3F"/>
    <w:rsid w:val="00D9147C"/>
    <w:rsid w:val="00DA186A"/>
    <w:rsid w:val="00DA29DA"/>
    <w:rsid w:val="00DA3E12"/>
    <w:rsid w:val="00DA5928"/>
    <w:rsid w:val="00DB0627"/>
    <w:rsid w:val="00DB127A"/>
    <w:rsid w:val="00DB5EA5"/>
    <w:rsid w:val="00DB6700"/>
    <w:rsid w:val="00DC003A"/>
    <w:rsid w:val="00DC54D9"/>
    <w:rsid w:val="00DC62E3"/>
    <w:rsid w:val="00DC6619"/>
    <w:rsid w:val="00DC72D9"/>
    <w:rsid w:val="00DD097B"/>
    <w:rsid w:val="00DD291B"/>
    <w:rsid w:val="00DD6997"/>
    <w:rsid w:val="00DE54A3"/>
    <w:rsid w:val="00DF4491"/>
    <w:rsid w:val="00E03D2D"/>
    <w:rsid w:val="00E05310"/>
    <w:rsid w:val="00E06E0F"/>
    <w:rsid w:val="00E10581"/>
    <w:rsid w:val="00E110DB"/>
    <w:rsid w:val="00E16C7C"/>
    <w:rsid w:val="00E21468"/>
    <w:rsid w:val="00E222AB"/>
    <w:rsid w:val="00E23DBA"/>
    <w:rsid w:val="00E24AA6"/>
    <w:rsid w:val="00E26808"/>
    <w:rsid w:val="00E27175"/>
    <w:rsid w:val="00E3004A"/>
    <w:rsid w:val="00E30252"/>
    <w:rsid w:val="00E3125E"/>
    <w:rsid w:val="00E413B0"/>
    <w:rsid w:val="00E42DF3"/>
    <w:rsid w:val="00E435F0"/>
    <w:rsid w:val="00E53216"/>
    <w:rsid w:val="00E56818"/>
    <w:rsid w:val="00E606EA"/>
    <w:rsid w:val="00E61277"/>
    <w:rsid w:val="00E62CA1"/>
    <w:rsid w:val="00E709DD"/>
    <w:rsid w:val="00E82F53"/>
    <w:rsid w:val="00E85194"/>
    <w:rsid w:val="00E8693B"/>
    <w:rsid w:val="00E91923"/>
    <w:rsid w:val="00E923DE"/>
    <w:rsid w:val="00EA2B93"/>
    <w:rsid w:val="00EB00DC"/>
    <w:rsid w:val="00EC2826"/>
    <w:rsid w:val="00EC2FEB"/>
    <w:rsid w:val="00EC461C"/>
    <w:rsid w:val="00EC68B6"/>
    <w:rsid w:val="00ED0691"/>
    <w:rsid w:val="00ED1203"/>
    <w:rsid w:val="00ED2585"/>
    <w:rsid w:val="00EE3BFE"/>
    <w:rsid w:val="00EE55F0"/>
    <w:rsid w:val="00F02BB1"/>
    <w:rsid w:val="00F0418B"/>
    <w:rsid w:val="00F04DBC"/>
    <w:rsid w:val="00F05226"/>
    <w:rsid w:val="00F1074B"/>
    <w:rsid w:val="00F1349F"/>
    <w:rsid w:val="00F15403"/>
    <w:rsid w:val="00F30636"/>
    <w:rsid w:val="00F32C98"/>
    <w:rsid w:val="00F34FC4"/>
    <w:rsid w:val="00F442ED"/>
    <w:rsid w:val="00F45C08"/>
    <w:rsid w:val="00F51219"/>
    <w:rsid w:val="00F56FE0"/>
    <w:rsid w:val="00F65FD4"/>
    <w:rsid w:val="00F83AF1"/>
    <w:rsid w:val="00F84BC0"/>
    <w:rsid w:val="00F85FAE"/>
    <w:rsid w:val="00F91DAE"/>
    <w:rsid w:val="00F92B37"/>
    <w:rsid w:val="00F94A89"/>
    <w:rsid w:val="00FA064A"/>
    <w:rsid w:val="00FA6812"/>
    <w:rsid w:val="00FA7533"/>
    <w:rsid w:val="00FB512A"/>
    <w:rsid w:val="00FB71FD"/>
    <w:rsid w:val="00FC6F90"/>
    <w:rsid w:val="00FD6458"/>
    <w:rsid w:val="00FD76D5"/>
    <w:rsid w:val="00FE0F50"/>
    <w:rsid w:val="00FE0FC9"/>
    <w:rsid w:val="00FE767B"/>
    <w:rsid w:val="00FF0269"/>
    <w:rsid w:val="00FF3053"/>
    <w:rsid w:val="01AC5842"/>
    <w:rsid w:val="03C44295"/>
    <w:rsid w:val="03E26AF8"/>
    <w:rsid w:val="050D65F7"/>
    <w:rsid w:val="06002CA7"/>
    <w:rsid w:val="06304C93"/>
    <w:rsid w:val="068E4661"/>
    <w:rsid w:val="074D3623"/>
    <w:rsid w:val="07792D05"/>
    <w:rsid w:val="077D25EC"/>
    <w:rsid w:val="07862691"/>
    <w:rsid w:val="099C5C65"/>
    <w:rsid w:val="09A03D78"/>
    <w:rsid w:val="09C53944"/>
    <w:rsid w:val="09EA5159"/>
    <w:rsid w:val="0A222B45"/>
    <w:rsid w:val="0B420FC5"/>
    <w:rsid w:val="0B510EC7"/>
    <w:rsid w:val="0C2B202C"/>
    <w:rsid w:val="0D4903E8"/>
    <w:rsid w:val="0D9C2C0E"/>
    <w:rsid w:val="0E4B0190"/>
    <w:rsid w:val="0E653000"/>
    <w:rsid w:val="0E707BF7"/>
    <w:rsid w:val="0F4C2412"/>
    <w:rsid w:val="108D11D0"/>
    <w:rsid w:val="10A337BD"/>
    <w:rsid w:val="10A5002C"/>
    <w:rsid w:val="10D206F5"/>
    <w:rsid w:val="10DA4E5B"/>
    <w:rsid w:val="118F132B"/>
    <w:rsid w:val="11BA18B5"/>
    <w:rsid w:val="11D7684D"/>
    <w:rsid w:val="122422FE"/>
    <w:rsid w:val="13D74FC3"/>
    <w:rsid w:val="140B464A"/>
    <w:rsid w:val="141A663B"/>
    <w:rsid w:val="14432035"/>
    <w:rsid w:val="144D4C62"/>
    <w:rsid w:val="14A32AD4"/>
    <w:rsid w:val="162023F7"/>
    <w:rsid w:val="16F03FEA"/>
    <w:rsid w:val="17563E2E"/>
    <w:rsid w:val="18153CE9"/>
    <w:rsid w:val="187A3B4C"/>
    <w:rsid w:val="18E65685"/>
    <w:rsid w:val="193A152D"/>
    <w:rsid w:val="193E726F"/>
    <w:rsid w:val="196D4CA7"/>
    <w:rsid w:val="197902A7"/>
    <w:rsid w:val="199030D2"/>
    <w:rsid w:val="19DD2D28"/>
    <w:rsid w:val="1A751B18"/>
    <w:rsid w:val="1B356450"/>
    <w:rsid w:val="1BF105C9"/>
    <w:rsid w:val="1C0F6CA1"/>
    <w:rsid w:val="1C2A4FBF"/>
    <w:rsid w:val="1C5C674F"/>
    <w:rsid w:val="1CC950A2"/>
    <w:rsid w:val="1D0165EA"/>
    <w:rsid w:val="1D6D3C7F"/>
    <w:rsid w:val="1DCA2E80"/>
    <w:rsid w:val="1DF13F91"/>
    <w:rsid w:val="1E1467F1"/>
    <w:rsid w:val="1E8C6387"/>
    <w:rsid w:val="1EC024D4"/>
    <w:rsid w:val="200603BB"/>
    <w:rsid w:val="202B4A2B"/>
    <w:rsid w:val="203E1903"/>
    <w:rsid w:val="2044119F"/>
    <w:rsid w:val="20DD736E"/>
    <w:rsid w:val="2188552B"/>
    <w:rsid w:val="22105521"/>
    <w:rsid w:val="22934188"/>
    <w:rsid w:val="2342795C"/>
    <w:rsid w:val="23B32608"/>
    <w:rsid w:val="23C242DB"/>
    <w:rsid w:val="245C4A4D"/>
    <w:rsid w:val="25537BFE"/>
    <w:rsid w:val="257F539A"/>
    <w:rsid w:val="271E5887"/>
    <w:rsid w:val="2802590C"/>
    <w:rsid w:val="28926C90"/>
    <w:rsid w:val="28C155C2"/>
    <w:rsid w:val="29780882"/>
    <w:rsid w:val="2A6F54DA"/>
    <w:rsid w:val="2AD76BDC"/>
    <w:rsid w:val="2AF05EF0"/>
    <w:rsid w:val="2BC929C8"/>
    <w:rsid w:val="2C471B3F"/>
    <w:rsid w:val="2CB76CC5"/>
    <w:rsid w:val="2CC31B0E"/>
    <w:rsid w:val="2EDC6EB7"/>
    <w:rsid w:val="2F432A92"/>
    <w:rsid w:val="2F5702EB"/>
    <w:rsid w:val="2F745341"/>
    <w:rsid w:val="2FC71915"/>
    <w:rsid w:val="2FF40230"/>
    <w:rsid w:val="30542A7D"/>
    <w:rsid w:val="309A0DD7"/>
    <w:rsid w:val="30EC0F07"/>
    <w:rsid w:val="30EC4AB6"/>
    <w:rsid w:val="30FA3624"/>
    <w:rsid w:val="311C010D"/>
    <w:rsid w:val="314672E5"/>
    <w:rsid w:val="31EB11BF"/>
    <w:rsid w:val="31EF0CAF"/>
    <w:rsid w:val="31FA460F"/>
    <w:rsid w:val="32326DEE"/>
    <w:rsid w:val="326459D6"/>
    <w:rsid w:val="32981347"/>
    <w:rsid w:val="335C4122"/>
    <w:rsid w:val="336D27D3"/>
    <w:rsid w:val="33C3104F"/>
    <w:rsid w:val="342B67BB"/>
    <w:rsid w:val="345D2848"/>
    <w:rsid w:val="34F37A86"/>
    <w:rsid w:val="34FB796B"/>
    <w:rsid w:val="35C81F43"/>
    <w:rsid w:val="36445A95"/>
    <w:rsid w:val="375F68D7"/>
    <w:rsid w:val="38C36FBD"/>
    <w:rsid w:val="38F372D7"/>
    <w:rsid w:val="399A3BF6"/>
    <w:rsid w:val="39A46054"/>
    <w:rsid w:val="3A02075B"/>
    <w:rsid w:val="3A103D04"/>
    <w:rsid w:val="3A3F31C3"/>
    <w:rsid w:val="3A573895"/>
    <w:rsid w:val="3A8122B3"/>
    <w:rsid w:val="3AFF2826"/>
    <w:rsid w:val="3B675D5A"/>
    <w:rsid w:val="3D78424E"/>
    <w:rsid w:val="3D850719"/>
    <w:rsid w:val="3EE20FD4"/>
    <w:rsid w:val="3FBF6165"/>
    <w:rsid w:val="3FC45529"/>
    <w:rsid w:val="401E01EB"/>
    <w:rsid w:val="40A23390"/>
    <w:rsid w:val="412A5860"/>
    <w:rsid w:val="417B60BB"/>
    <w:rsid w:val="42497F67"/>
    <w:rsid w:val="42AC0A4D"/>
    <w:rsid w:val="42CD2946"/>
    <w:rsid w:val="431F6F1A"/>
    <w:rsid w:val="435B2648"/>
    <w:rsid w:val="435C1F1C"/>
    <w:rsid w:val="438635F8"/>
    <w:rsid w:val="43CC6147"/>
    <w:rsid w:val="442144B0"/>
    <w:rsid w:val="45B85B30"/>
    <w:rsid w:val="462C207A"/>
    <w:rsid w:val="468C0D6B"/>
    <w:rsid w:val="48313978"/>
    <w:rsid w:val="48904C60"/>
    <w:rsid w:val="48A24875"/>
    <w:rsid w:val="48AE55A7"/>
    <w:rsid w:val="493059DD"/>
    <w:rsid w:val="49470F79"/>
    <w:rsid w:val="496E6505"/>
    <w:rsid w:val="4A6F2535"/>
    <w:rsid w:val="4A895CED"/>
    <w:rsid w:val="4B977F95"/>
    <w:rsid w:val="4BBF1394"/>
    <w:rsid w:val="4C300372"/>
    <w:rsid w:val="4D001B6A"/>
    <w:rsid w:val="4D930C30"/>
    <w:rsid w:val="4D9C1893"/>
    <w:rsid w:val="4E0F6509"/>
    <w:rsid w:val="4E1E04FA"/>
    <w:rsid w:val="4EC15329"/>
    <w:rsid w:val="4EFB6A8D"/>
    <w:rsid w:val="4F9111A0"/>
    <w:rsid w:val="51A76A58"/>
    <w:rsid w:val="51C4585C"/>
    <w:rsid w:val="51CC15DC"/>
    <w:rsid w:val="532E611C"/>
    <w:rsid w:val="5385101B"/>
    <w:rsid w:val="539732B2"/>
    <w:rsid w:val="53F12D85"/>
    <w:rsid w:val="54273E81"/>
    <w:rsid w:val="54C6369A"/>
    <w:rsid w:val="553916C2"/>
    <w:rsid w:val="565E627F"/>
    <w:rsid w:val="5690083B"/>
    <w:rsid w:val="576F0018"/>
    <w:rsid w:val="591250FF"/>
    <w:rsid w:val="59215342"/>
    <w:rsid w:val="59270107"/>
    <w:rsid w:val="595E20F3"/>
    <w:rsid w:val="59C44CEA"/>
    <w:rsid w:val="5AB81CD6"/>
    <w:rsid w:val="5AFD12A8"/>
    <w:rsid w:val="5B6360E6"/>
    <w:rsid w:val="5BC043EB"/>
    <w:rsid w:val="5C205D85"/>
    <w:rsid w:val="5D46181B"/>
    <w:rsid w:val="5DC15346"/>
    <w:rsid w:val="5DD16087"/>
    <w:rsid w:val="5EEC1F4F"/>
    <w:rsid w:val="5FD52943"/>
    <w:rsid w:val="6031700A"/>
    <w:rsid w:val="606A3A73"/>
    <w:rsid w:val="60C34F05"/>
    <w:rsid w:val="60EA6962"/>
    <w:rsid w:val="60EE0200"/>
    <w:rsid w:val="62FD472A"/>
    <w:rsid w:val="640704EB"/>
    <w:rsid w:val="64340620"/>
    <w:rsid w:val="64550596"/>
    <w:rsid w:val="65AE5C1C"/>
    <w:rsid w:val="65D8322D"/>
    <w:rsid w:val="6612673F"/>
    <w:rsid w:val="66607EB8"/>
    <w:rsid w:val="66833198"/>
    <w:rsid w:val="66DB2FD4"/>
    <w:rsid w:val="66ED2D08"/>
    <w:rsid w:val="68AB2E7A"/>
    <w:rsid w:val="6A570BC4"/>
    <w:rsid w:val="6B014FD4"/>
    <w:rsid w:val="6B1B6095"/>
    <w:rsid w:val="6CA4030D"/>
    <w:rsid w:val="6CF92406"/>
    <w:rsid w:val="6DB225B5"/>
    <w:rsid w:val="6DC20A4A"/>
    <w:rsid w:val="6DCE3893"/>
    <w:rsid w:val="6E331948"/>
    <w:rsid w:val="6E425497"/>
    <w:rsid w:val="6F0F5F11"/>
    <w:rsid w:val="6F863CF9"/>
    <w:rsid w:val="6FA7493A"/>
    <w:rsid w:val="70294DB1"/>
    <w:rsid w:val="705646A1"/>
    <w:rsid w:val="71763EDA"/>
    <w:rsid w:val="72A946A6"/>
    <w:rsid w:val="72D51220"/>
    <w:rsid w:val="72E27499"/>
    <w:rsid w:val="73F92CEC"/>
    <w:rsid w:val="758D7B90"/>
    <w:rsid w:val="768371E5"/>
    <w:rsid w:val="76C375E1"/>
    <w:rsid w:val="76DA32A9"/>
    <w:rsid w:val="7714505D"/>
    <w:rsid w:val="775B39C1"/>
    <w:rsid w:val="78221706"/>
    <w:rsid w:val="78C22246"/>
    <w:rsid w:val="7949645D"/>
    <w:rsid w:val="796C3F60"/>
    <w:rsid w:val="79924211"/>
    <w:rsid w:val="79E71B6B"/>
    <w:rsid w:val="7A1E7CE3"/>
    <w:rsid w:val="7A2E0C39"/>
    <w:rsid w:val="7A3F3423"/>
    <w:rsid w:val="7B4231CA"/>
    <w:rsid w:val="7C142DB9"/>
    <w:rsid w:val="7C5A4544"/>
    <w:rsid w:val="7C723E57"/>
    <w:rsid w:val="7DD547CA"/>
    <w:rsid w:val="7E942361"/>
    <w:rsid w:val="7F0215EE"/>
    <w:rsid w:val="7F203823"/>
    <w:rsid w:val="7FAA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84CBBBE"/>
  <w15:docId w15:val="{3A9E8CA9-8C6B-41D6-9141-55B27CEB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spacing w:after="160" w:line="259" w:lineRule="auto"/>
    </w:pPr>
    <w:rPr>
      <w:rFonts w:ascii="Georgia" w:hAnsi="Georgia" w:cstheme="minorBidi"/>
      <w:kern w:val="2"/>
      <w:sz w:val="22"/>
      <w:szCs w:val="22"/>
      <w14:ligatures w14:val="standardContextual"/>
    </w:rPr>
  </w:style>
  <w:style w:type="paragraph" w:styleId="1">
    <w:name w:val="heading 1"/>
    <w:basedOn w:val="a1"/>
    <w:next w:val="a0"/>
    <w:link w:val="10"/>
    <w:uiPriority w:val="9"/>
    <w:qFormat/>
    <w:pPr>
      <w:spacing w:before="240" w:after="0" w:line="360" w:lineRule="auto"/>
      <w:ind w:left="360" w:firstLineChars="0" w:hanging="360"/>
      <w:outlineLvl w:val="0"/>
    </w:pPr>
    <w:rPr>
      <w:rFonts w:ascii="Times New Roman" w:hAnsi="Times New Roman" w:cs="Times New Roman"/>
      <w:b/>
      <w:bCs/>
      <w:sz w:val="24"/>
      <w:szCs w:val="24"/>
    </w:rPr>
  </w:style>
  <w:style w:type="paragraph" w:styleId="20">
    <w:name w:val="heading 2"/>
    <w:basedOn w:val="a1"/>
    <w:next w:val="a0"/>
    <w:link w:val="21"/>
    <w:uiPriority w:val="9"/>
    <w:unhideWhenUsed/>
    <w:qFormat/>
    <w:pPr>
      <w:spacing w:before="200" w:after="0" w:line="360" w:lineRule="auto"/>
      <w:ind w:left="720" w:firstLineChars="0" w:hanging="720"/>
      <w:outlineLvl w:val="1"/>
    </w:pPr>
    <w:rPr>
      <w:rFonts w:ascii="Times New Roman" w:hAnsi="Times New Roman" w:cs="Times New Roman"/>
      <w:b/>
      <w:bCs/>
      <w:sz w:val="24"/>
      <w:szCs w:val="24"/>
    </w:rPr>
  </w:style>
  <w:style w:type="paragraph" w:styleId="3">
    <w:name w:val="heading 3"/>
    <w:basedOn w:val="a1"/>
    <w:next w:val="a0"/>
    <w:link w:val="30"/>
    <w:uiPriority w:val="9"/>
    <w:unhideWhenUsed/>
    <w:qFormat/>
    <w:pPr>
      <w:spacing w:before="200" w:after="0" w:line="360" w:lineRule="auto"/>
      <w:ind w:firstLineChars="0" w:firstLine="0"/>
      <w:outlineLvl w:val="2"/>
    </w:pPr>
    <w:rPr>
      <w:rFonts w:ascii="Times New Roman" w:hAnsi="Times New Roman" w:cs="Times New Roman"/>
      <w:b/>
      <w:bCs/>
      <w:sz w:val="24"/>
      <w:szCs w:val="24"/>
    </w:rPr>
  </w:style>
  <w:style w:type="paragraph" w:styleId="4">
    <w:name w:val="heading 4"/>
    <w:basedOn w:val="a0"/>
    <w:next w:val="a0"/>
    <w:link w:val="40"/>
    <w:uiPriority w:val="9"/>
    <w:qFormat/>
    <w:pPr>
      <w:keepNext/>
      <w:keepLines/>
      <w:spacing w:before="200" w:after="0" w:line="360" w:lineRule="auto"/>
      <w:outlineLvl w:val="3"/>
    </w:pPr>
    <w:rPr>
      <w:rFonts w:ascii="Cambria" w:eastAsia="黑体" w:hAnsi="Cambria" w:cs="Times New Roman"/>
      <w:b/>
      <w:bCs/>
      <w:i/>
      <w:iCs/>
      <w:color w:val="4F81BD"/>
      <w:kern w:val="0"/>
      <w:sz w:val="20"/>
      <w:szCs w:val="20"/>
      <w:lang w:val="zh-CN"/>
      <w14:ligatures w14:val="none"/>
    </w:rPr>
  </w:style>
  <w:style w:type="paragraph" w:styleId="5">
    <w:name w:val="heading 5"/>
    <w:basedOn w:val="a0"/>
    <w:next w:val="a0"/>
    <w:link w:val="50"/>
    <w:uiPriority w:val="9"/>
    <w:qFormat/>
    <w:pPr>
      <w:keepNext/>
      <w:keepLines/>
      <w:spacing w:before="200" w:after="0" w:line="360" w:lineRule="auto"/>
      <w:outlineLvl w:val="4"/>
    </w:pPr>
    <w:rPr>
      <w:rFonts w:ascii="Cambria" w:eastAsia="黑体" w:hAnsi="Cambria" w:cs="Times New Roman"/>
      <w:color w:val="243F60"/>
      <w:kern w:val="0"/>
      <w:sz w:val="20"/>
      <w:szCs w:val="20"/>
      <w:lang w:val="zh-CN"/>
      <w14:ligatures w14:val="none"/>
    </w:rPr>
  </w:style>
  <w:style w:type="paragraph" w:styleId="6">
    <w:name w:val="heading 6"/>
    <w:basedOn w:val="a0"/>
    <w:next w:val="a0"/>
    <w:link w:val="60"/>
    <w:uiPriority w:val="9"/>
    <w:qFormat/>
    <w:pPr>
      <w:keepNext/>
      <w:keepLines/>
      <w:spacing w:before="200" w:after="0" w:line="360" w:lineRule="auto"/>
      <w:outlineLvl w:val="5"/>
    </w:pPr>
    <w:rPr>
      <w:rFonts w:ascii="Cambria" w:eastAsia="黑体" w:hAnsi="Cambria" w:cs="Times New Roman"/>
      <w:i/>
      <w:iCs/>
      <w:color w:val="243F60"/>
      <w:kern w:val="0"/>
      <w:sz w:val="20"/>
      <w:szCs w:val="20"/>
      <w:lang w:val="zh-CN"/>
      <w14:ligatures w14:val="none"/>
    </w:rPr>
  </w:style>
  <w:style w:type="paragraph" w:styleId="7">
    <w:name w:val="heading 7"/>
    <w:basedOn w:val="a0"/>
    <w:next w:val="a0"/>
    <w:link w:val="70"/>
    <w:uiPriority w:val="9"/>
    <w:qFormat/>
    <w:pPr>
      <w:keepNext/>
      <w:keepLines/>
      <w:spacing w:before="200" w:after="0" w:line="360" w:lineRule="auto"/>
      <w:outlineLvl w:val="6"/>
    </w:pPr>
    <w:rPr>
      <w:rFonts w:ascii="Cambria" w:eastAsia="黑体" w:hAnsi="Cambria" w:cs="Times New Roman"/>
      <w:i/>
      <w:iCs/>
      <w:color w:val="404040"/>
      <w:kern w:val="0"/>
      <w:sz w:val="20"/>
      <w:szCs w:val="20"/>
      <w:lang w:val="zh-CN"/>
      <w14:ligatures w14:val="none"/>
    </w:rPr>
  </w:style>
  <w:style w:type="paragraph" w:styleId="8">
    <w:name w:val="heading 8"/>
    <w:basedOn w:val="a0"/>
    <w:next w:val="a0"/>
    <w:link w:val="80"/>
    <w:uiPriority w:val="9"/>
    <w:qFormat/>
    <w:pPr>
      <w:keepNext/>
      <w:keepLines/>
      <w:spacing w:before="200" w:after="0" w:line="360" w:lineRule="auto"/>
      <w:outlineLvl w:val="7"/>
    </w:pPr>
    <w:rPr>
      <w:rFonts w:ascii="Cambria" w:eastAsia="黑体" w:hAnsi="Cambria" w:cs="Times New Roman"/>
      <w:color w:val="4F81BD"/>
      <w:kern w:val="0"/>
      <w:sz w:val="20"/>
      <w:szCs w:val="20"/>
      <w:lang w:val="zh-CN"/>
      <w14:ligatures w14:val="none"/>
    </w:rPr>
  </w:style>
  <w:style w:type="paragraph" w:styleId="9">
    <w:name w:val="heading 9"/>
    <w:basedOn w:val="a0"/>
    <w:next w:val="a0"/>
    <w:link w:val="90"/>
    <w:uiPriority w:val="9"/>
    <w:qFormat/>
    <w:pPr>
      <w:keepNext/>
      <w:keepLines/>
      <w:spacing w:before="200" w:after="0" w:line="360" w:lineRule="auto"/>
      <w:outlineLvl w:val="8"/>
    </w:pPr>
    <w:rPr>
      <w:rFonts w:ascii="Cambria" w:eastAsia="黑体" w:hAnsi="Cambria" w:cs="Times New Roman"/>
      <w:i/>
      <w:iCs/>
      <w:color w:val="404040"/>
      <w:kern w:val="0"/>
      <w:sz w:val="20"/>
      <w:szCs w:val="20"/>
      <w:lang w:val="zh-CN"/>
      <w14:ligatures w14:val="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0"/>
    <w:next w:val="a0"/>
    <w:qFormat/>
    <w:pPr>
      <w:spacing w:line="490" w:lineRule="exact"/>
      <w:ind w:firstLineChars="200" w:firstLine="1044"/>
    </w:pPr>
    <w:rPr>
      <w:rFonts w:ascii="仿宋_GB2312" w:eastAsia="仿宋_GB2312" w:hAnsi="仿宋_GB2312"/>
      <w:sz w:val="28"/>
      <w:szCs w:val="28"/>
    </w:rPr>
  </w:style>
  <w:style w:type="paragraph" w:styleId="a1">
    <w:name w:val="List Paragraph"/>
    <w:basedOn w:val="a0"/>
    <w:uiPriority w:val="34"/>
    <w:qFormat/>
    <w:pPr>
      <w:ind w:firstLineChars="200" w:firstLine="420"/>
    </w:pPr>
  </w:style>
  <w:style w:type="paragraph" w:styleId="a5">
    <w:name w:val="caption"/>
    <w:basedOn w:val="a0"/>
    <w:next w:val="a0"/>
    <w:uiPriority w:val="35"/>
    <w:unhideWhenUsed/>
    <w:qFormat/>
    <w:rPr>
      <w:rFonts w:asciiTheme="majorHAnsi" w:eastAsia="黑体" w:hAnsiTheme="majorHAnsi" w:cstheme="majorBidi"/>
      <w:sz w:val="20"/>
      <w:szCs w:val="20"/>
    </w:rPr>
  </w:style>
  <w:style w:type="paragraph" w:styleId="a6">
    <w:name w:val="annotation text"/>
    <w:basedOn w:val="a0"/>
    <w:link w:val="a7"/>
    <w:unhideWhenUsed/>
    <w:qFormat/>
  </w:style>
  <w:style w:type="paragraph" w:styleId="a8">
    <w:name w:val="Body Text"/>
    <w:basedOn w:val="a0"/>
    <w:next w:val="a0"/>
    <w:link w:val="a9"/>
    <w:autoRedefine/>
    <w:qFormat/>
    <w:pPr>
      <w:widowControl w:val="0"/>
      <w:spacing w:beforeLines="50" w:afterLines="50" w:after="0" w:line="360" w:lineRule="auto"/>
      <w:ind w:firstLineChars="200" w:firstLine="480"/>
      <w:jc w:val="both"/>
    </w:pPr>
    <w:rPr>
      <w:rFonts w:ascii="Calibri" w:eastAsia="DFKai-SB" w:hAnsi="DFKai-SB" w:cs="Times New Roman"/>
      <w:kern w:val="0"/>
      <w:sz w:val="26"/>
      <w:szCs w:val="26"/>
      <w:lang w:eastAsia="zh-TW" w:bidi="en-US"/>
      <w14:ligatures w14:val="none"/>
    </w:rPr>
  </w:style>
  <w:style w:type="paragraph" w:styleId="TOC3">
    <w:name w:val="toc 3"/>
    <w:basedOn w:val="a0"/>
    <w:next w:val="a0"/>
    <w:autoRedefine/>
    <w:uiPriority w:val="39"/>
    <w:qFormat/>
    <w:pPr>
      <w:tabs>
        <w:tab w:val="right" w:leader="dot" w:pos="9356"/>
      </w:tabs>
      <w:spacing w:after="0" w:line="360" w:lineRule="auto"/>
      <w:ind w:leftChars="400" w:left="960" w:rightChars="117" w:right="281"/>
    </w:pPr>
    <w:rPr>
      <w:rFonts w:ascii="Times New Roman" w:eastAsia="DFKai-SB" w:hAnsi="Times New Roman" w:cs="Times New Roman"/>
      <w:kern w:val="0"/>
      <w:sz w:val="24"/>
      <w:lang w:eastAsia="en-US" w:bidi="en-US"/>
      <w14:ligatures w14:val="none"/>
    </w:rPr>
  </w:style>
  <w:style w:type="paragraph" w:styleId="aa">
    <w:name w:val="Balloon Text"/>
    <w:basedOn w:val="a0"/>
    <w:link w:val="ab"/>
    <w:semiHidden/>
    <w:qFormat/>
    <w:pPr>
      <w:spacing w:after="0" w:line="360" w:lineRule="auto"/>
    </w:pPr>
    <w:rPr>
      <w:rFonts w:ascii="Arial" w:eastAsia="黑体" w:hAnsi="Arial" w:cs="Times New Roman"/>
      <w:kern w:val="0"/>
      <w:sz w:val="18"/>
      <w:szCs w:val="18"/>
      <w:lang w:eastAsia="en-US" w:bidi="en-US"/>
      <w14:ligatures w14:val="none"/>
    </w:rPr>
  </w:style>
  <w:style w:type="paragraph" w:styleId="ac">
    <w:name w:val="footer"/>
    <w:basedOn w:val="a0"/>
    <w:link w:val="ad"/>
    <w:uiPriority w:val="99"/>
    <w:unhideWhenUsed/>
    <w:qFormat/>
    <w:pPr>
      <w:tabs>
        <w:tab w:val="center" w:pos="4153"/>
        <w:tab w:val="right" w:pos="8306"/>
      </w:tabs>
      <w:snapToGrid w:val="0"/>
      <w:spacing w:line="240" w:lineRule="auto"/>
    </w:pPr>
    <w:rPr>
      <w:sz w:val="18"/>
      <w:szCs w:val="18"/>
    </w:rPr>
  </w:style>
  <w:style w:type="paragraph" w:styleId="ae">
    <w:name w:val="header"/>
    <w:basedOn w:val="a0"/>
    <w:link w:val="af"/>
    <w:unhideWhenUsed/>
    <w:qFormat/>
    <w:pPr>
      <w:tabs>
        <w:tab w:val="center" w:pos="4153"/>
        <w:tab w:val="right" w:pos="8306"/>
      </w:tabs>
      <w:snapToGrid w:val="0"/>
      <w:spacing w:line="240" w:lineRule="auto"/>
      <w:jc w:val="center"/>
    </w:pPr>
    <w:rPr>
      <w:sz w:val="18"/>
      <w:szCs w:val="18"/>
    </w:rPr>
  </w:style>
  <w:style w:type="paragraph" w:styleId="TOC1">
    <w:name w:val="toc 1"/>
    <w:basedOn w:val="a0"/>
    <w:next w:val="a0"/>
    <w:autoRedefine/>
    <w:uiPriority w:val="39"/>
    <w:qFormat/>
    <w:pPr>
      <w:tabs>
        <w:tab w:val="right" w:leader="dot" w:pos="9356"/>
      </w:tabs>
      <w:spacing w:after="0" w:line="360" w:lineRule="auto"/>
      <w:ind w:rightChars="117" w:right="257"/>
      <w:jc w:val="center"/>
    </w:pPr>
    <w:rPr>
      <w:rFonts w:ascii="PMingLiU" w:eastAsia="DFKai-SB" w:hAnsi="PMingLiU" w:cs="Times New Roman"/>
      <w:kern w:val="0"/>
      <w:sz w:val="24"/>
      <w:lang w:eastAsia="en-US" w:bidi="en-US"/>
      <w14:ligatures w14:val="none"/>
    </w:rPr>
  </w:style>
  <w:style w:type="paragraph" w:styleId="af0">
    <w:name w:val="Subtitle"/>
    <w:basedOn w:val="a0"/>
    <w:next w:val="a0"/>
    <w:link w:val="af1"/>
    <w:uiPriority w:val="11"/>
    <w:qFormat/>
    <w:pPr>
      <w:spacing w:after="0" w:line="360" w:lineRule="auto"/>
    </w:pPr>
    <w:rPr>
      <w:rFonts w:ascii="Cambria" w:eastAsia="黑体" w:hAnsi="Cambria" w:cs="Times New Roman"/>
      <w:i/>
      <w:iCs/>
      <w:color w:val="4F81BD"/>
      <w:spacing w:val="15"/>
      <w:kern w:val="0"/>
      <w:sz w:val="24"/>
      <w:szCs w:val="24"/>
      <w:lang w:val="zh-CN"/>
      <w14:ligatures w14:val="none"/>
    </w:rPr>
  </w:style>
  <w:style w:type="paragraph" w:styleId="af2">
    <w:name w:val="footnote text"/>
    <w:basedOn w:val="a0"/>
    <w:link w:val="af3"/>
    <w:semiHidden/>
    <w:qFormat/>
    <w:pPr>
      <w:snapToGrid w:val="0"/>
      <w:spacing w:after="0" w:line="240" w:lineRule="auto"/>
    </w:pPr>
    <w:rPr>
      <w:rFonts w:ascii="Calibri" w:eastAsia="黑体" w:hAnsi="Calibri" w:cs="Times New Roman"/>
      <w:kern w:val="0"/>
      <w:sz w:val="24"/>
      <w:szCs w:val="20"/>
      <w:lang w:eastAsia="en-US" w:bidi="en-US"/>
      <w14:ligatures w14:val="none"/>
    </w:rPr>
  </w:style>
  <w:style w:type="paragraph" w:styleId="af4">
    <w:name w:val="table of figures"/>
    <w:basedOn w:val="a0"/>
    <w:next w:val="a0"/>
    <w:uiPriority w:val="99"/>
    <w:unhideWhenUsed/>
    <w:qFormat/>
    <w:pPr>
      <w:spacing w:after="0" w:line="360" w:lineRule="auto"/>
    </w:pPr>
    <w:rPr>
      <w:rFonts w:ascii="Calibri" w:eastAsia="黑体" w:hAnsi="Calibri" w:cs="Times New Roman"/>
      <w:kern w:val="0"/>
      <w:sz w:val="24"/>
      <w:lang w:eastAsia="en-US" w:bidi="en-US"/>
      <w14:ligatures w14:val="none"/>
    </w:rPr>
  </w:style>
  <w:style w:type="paragraph" w:styleId="TOC2">
    <w:name w:val="toc 2"/>
    <w:basedOn w:val="a0"/>
    <w:next w:val="a0"/>
    <w:autoRedefine/>
    <w:uiPriority w:val="39"/>
    <w:qFormat/>
    <w:pPr>
      <w:tabs>
        <w:tab w:val="right" w:leader="dot" w:pos="9356"/>
      </w:tabs>
      <w:spacing w:after="0" w:line="360" w:lineRule="auto"/>
      <w:ind w:leftChars="200" w:left="440" w:rightChars="117" w:right="257"/>
      <w:jc w:val="both"/>
    </w:pPr>
    <w:rPr>
      <w:rFonts w:ascii="Times New Roman" w:eastAsia="DFKai-SB" w:hAnsi="Times New Roman" w:cs="Times New Roman"/>
      <w:kern w:val="0"/>
      <w:sz w:val="24"/>
      <w:lang w:eastAsia="en-US" w:bidi="en-US"/>
      <w14:ligatures w14:val="none"/>
    </w:rPr>
  </w:style>
  <w:style w:type="paragraph" w:styleId="af5">
    <w:name w:val="Normal (Web)"/>
    <w:basedOn w:val="a0"/>
    <w:uiPriority w:val="99"/>
    <w:qFormat/>
    <w:pPr>
      <w:spacing w:before="100" w:beforeAutospacing="1" w:after="100" w:afterAutospacing="1" w:line="240" w:lineRule="auto"/>
    </w:pPr>
    <w:rPr>
      <w:rFonts w:ascii="PMingLiU" w:eastAsia="黑体" w:hAnsi="PMingLiU" w:cs="PMingLiU"/>
      <w:kern w:val="0"/>
      <w:sz w:val="24"/>
      <w:szCs w:val="24"/>
      <w:lang w:eastAsia="zh-TW"/>
      <w14:ligatures w14:val="none"/>
    </w:rPr>
  </w:style>
  <w:style w:type="paragraph" w:styleId="af6">
    <w:name w:val="Title"/>
    <w:basedOn w:val="a0"/>
    <w:next w:val="a0"/>
    <w:link w:val="af7"/>
    <w:uiPriority w:val="10"/>
    <w:qFormat/>
    <w:pPr>
      <w:pBdr>
        <w:bottom w:val="single" w:sz="8" w:space="4" w:color="4F81BD"/>
      </w:pBdr>
      <w:spacing w:after="300" w:line="240" w:lineRule="auto"/>
      <w:contextualSpacing/>
    </w:pPr>
    <w:rPr>
      <w:rFonts w:ascii="Cambria" w:eastAsia="黑体" w:hAnsi="Cambria" w:cs="Times New Roman"/>
      <w:color w:val="17365D"/>
      <w:spacing w:val="5"/>
      <w:kern w:val="28"/>
      <w:sz w:val="52"/>
      <w:szCs w:val="52"/>
      <w:lang w:val="zh-CN"/>
      <w14:ligatures w14:val="none"/>
    </w:rPr>
  </w:style>
  <w:style w:type="paragraph" w:styleId="af8">
    <w:name w:val="annotation subject"/>
    <w:basedOn w:val="a6"/>
    <w:next w:val="a6"/>
    <w:link w:val="af9"/>
    <w:semiHidden/>
    <w:unhideWhenUsed/>
    <w:qFormat/>
    <w:rPr>
      <w:b/>
      <w:bCs/>
    </w:rPr>
  </w:style>
  <w:style w:type="table" w:styleId="afa">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line number"/>
    <w:basedOn w:val="a2"/>
    <w:qFormat/>
  </w:style>
  <w:style w:type="character" w:styleId="aff0">
    <w:name w:val="Hyperlink"/>
    <w:uiPriority w:val="99"/>
    <w:qFormat/>
    <w:rPr>
      <w:color w:val="0000FF"/>
      <w:u w:val="single"/>
    </w:rPr>
  </w:style>
  <w:style w:type="character" w:styleId="aff1">
    <w:name w:val="annotation reference"/>
    <w:basedOn w:val="a2"/>
    <w:semiHidden/>
    <w:unhideWhenUsed/>
    <w:qFormat/>
    <w:rPr>
      <w:sz w:val="21"/>
      <w:szCs w:val="21"/>
    </w:rPr>
  </w:style>
  <w:style w:type="character" w:styleId="aff2">
    <w:name w:val="footnote reference"/>
    <w:semiHidden/>
    <w:qFormat/>
    <w:rPr>
      <w:vertAlign w:val="superscript"/>
    </w:rPr>
  </w:style>
  <w:style w:type="character" w:customStyle="1" w:styleId="af">
    <w:name w:val="页眉 字符"/>
    <w:basedOn w:val="a2"/>
    <w:link w:val="ae"/>
    <w:qFormat/>
    <w:rPr>
      <w:sz w:val="18"/>
      <w:szCs w:val="18"/>
    </w:rPr>
  </w:style>
  <w:style w:type="character" w:customStyle="1" w:styleId="ad">
    <w:name w:val="页脚 字符"/>
    <w:basedOn w:val="a2"/>
    <w:link w:val="ac"/>
    <w:uiPriority w:val="99"/>
    <w:qFormat/>
    <w:rPr>
      <w:sz w:val="18"/>
      <w:szCs w:val="18"/>
    </w:rPr>
  </w:style>
  <w:style w:type="character" w:customStyle="1" w:styleId="10">
    <w:name w:val="标题 1 字符"/>
    <w:basedOn w:val="a2"/>
    <w:link w:val="1"/>
    <w:uiPriority w:val="9"/>
    <w:qFormat/>
    <w:rPr>
      <w:rFonts w:ascii="Times New Roman" w:hAnsi="Times New Roman" w:cs="Times New Roman"/>
      <w:b/>
      <w:bCs/>
      <w:sz w:val="24"/>
      <w:szCs w:val="24"/>
    </w:rPr>
  </w:style>
  <w:style w:type="character" w:customStyle="1" w:styleId="21">
    <w:name w:val="标题 2 字符"/>
    <w:basedOn w:val="a2"/>
    <w:link w:val="20"/>
    <w:uiPriority w:val="9"/>
    <w:qFormat/>
    <w:rPr>
      <w:rFonts w:ascii="Times New Roman" w:hAnsi="Times New Roman" w:cs="Times New Roman"/>
      <w:b/>
      <w:bCs/>
      <w:sz w:val="24"/>
      <w:szCs w:val="24"/>
    </w:rPr>
  </w:style>
  <w:style w:type="character" w:customStyle="1" w:styleId="30">
    <w:name w:val="标题 3 字符"/>
    <w:basedOn w:val="a2"/>
    <w:link w:val="3"/>
    <w:uiPriority w:val="9"/>
    <w:qFormat/>
    <w:rPr>
      <w:rFonts w:ascii="Times New Roman" w:hAnsi="Times New Roman" w:cs="Times New Roman"/>
      <w:b/>
      <w:bCs/>
      <w:sz w:val="24"/>
      <w:szCs w:val="24"/>
    </w:rPr>
  </w:style>
  <w:style w:type="character" w:customStyle="1" w:styleId="a7">
    <w:name w:val="批注文字 字符"/>
    <w:basedOn w:val="a2"/>
    <w:link w:val="a6"/>
    <w:qFormat/>
  </w:style>
  <w:style w:type="character" w:customStyle="1" w:styleId="af9">
    <w:name w:val="批注主题 字符"/>
    <w:basedOn w:val="a7"/>
    <w:link w:val="af8"/>
    <w:semiHidden/>
    <w:qFormat/>
    <w:rPr>
      <w:b/>
      <w:bCs/>
    </w:rPr>
  </w:style>
  <w:style w:type="paragraph" w:customStyle="1" w:styleId="a">
    <w:name w:val="表+编号"/>
    <w:basedOn w:val="a5"/>
    <w:qFormat/>
    <w:pPr>
      <w:numPr>
        <w:numId w:val="1"/>
      </w:numPr>
      <w:tabs>
        <w:tab w:val="left" w:pos="360"/>
      </w:tabs>
      <w:spacing w:after="0" w:line="360" w:lineRule="auto"/>
      <w:ind w:left="0" w:firstLine="0"/>
      <w:jc w:val="center"/>
    </w:pPr>
    <w:rPr>
      <w:rFonts w:ascii="Times New Roman" w:eastAsia="宋体" w:hAnsi="Times New Roman" w:cs="Times New Roman"/>
      <w:bCs/>
      <w:kern w:val="0"/>
      <w:sz w:val="24"/>
      <w:szCs w:val="24"/>
      <w:lang w:bidi="en-US"/>
      <w14:ligatures w14:val="none"/>
    </w:rPr>
  </w:style>
  <w:style w:type="character" w:customStyle="1" w:styleId="40">
    <w:name w:val="标题 4 字符"/>
    <w:basedOn w:val="a2"/>
    <w:link w:val="4"/>
    <w:uiPriority w:val="9"/>
    <w:qFormat/>
    <w:rPr>
      <w:rFonts w:ascii="Cambria" w:eastAsia="黑体" w:hAnsi="Cambria" w:cs="Times New Roman"/>
      <w:b/>
      <w:bCs/>
      <w:i/>
      <w:iCs/>
      <w:color w:val="4F81BD"/>
      <w:kern w:val="0"/>
      <w:sz w:val="20"/>
      <w:szCs w:val="20"/>
      <w:lang w:val="zh-CN" w:eastAsia="zh-CN"/>
      <w14:ligatures w14:val="none"/>
    </w:rPr>
  </w:style>
  <w:style w:type="character" w:customStyle="1" w:styleId="50">
    <w:name w:val="标题 5 字符"/>
    <w:basedOn w:val="a2"/>
    <w:link w:val="5"/>
    <w:uiPriority w:val="9"/>
    <w:qFormat/>
    <w:rPr>
      <w:rFonts w:ascii="Cambria" w:eastAsia="黑体" w:hAnsi="Cambria" w:cs="Times New Roman"/>
      <w:color w:val="243F60"/>
      <w:kern w:val="0"/>
      <w:sz w:val="20"/>
      <w:szCs w:val="20"/>
      <w:lang w:val="zh-CN" w:eastAsia="zh-CN"/>
      <w14:ligatures w14:val="none"/>
    </w:rPr>
  </w:style>
  <w:style w:type="character" w:customStyle="1" w:styleId="60">
    <w:name w:val="标题 6 字符"/>
    <w:basedOn w:val="a2"/>
    <w:link w:val="6"/>
    <w:uiPriority w:val="9"/>
    <w:qFormat/>
    <w:rPr>
      <w:rFonts w:ascii="Cambria" w:eastAsia="黑体" w:hAnsi="Cambria" w:cs="Times New Roman"/>
      <w:i/>
      <w:iCs/>
      <w:color w:val="243F60"/>
      <w:kern w:val="0"/>
      <w:sz w:val="20"/>
      <w:szCs w:val="20"/>
      <w:lang w:val="zh-CN" w:eastAsia="zh-CN"/>
      <w14:ligatures w14:val="none"/>
    </w:rPr>
  </w:style>
  <w:style w:type="character" w:customStyle="1" w:styleId="70">
    <w:name w:val="标题 7 字符"/>
    <w:basedOn w:val="a2"/>
    <w:link w:val="7"/>
    <w:uiPriority w:val="9"/>
    <w:qFormat/>
    <w:rPr>
      <w:rFonts w:ascii="Cambria" w:eastAsia="黑体" w:hAnsi="Cambria" w:cs="Times New Roman"/>
      <w:i/>
      <w:iCs/>
      <w:color w:val="404040"/>
      <w:kern w:val="0"/>
      <w:sz w:val="20"/>
      <w:szCs w:val="20"/>
      <w:lang w:val="zh-CN" w:eastAsia="zh-CN"/>
      <w14:ligatures w14:val="none"/>
    </w:rPr>
  </w:style>
  <w:style w:type="character" w:customStyle="1" w:styleId="80">
    <w:name w:val="标题 8 字符"/>
    <w:basedOn w:val="a2"/>
    <w:link w:val="8"/>
    <w:uiPriority w:val="9"/>
    <w:qFormat/>
    <w:rPr>
      <w:rFonts w:ascii="Cambria" w:eastAsia="黑体" w:hAnsi="Cambria" w:cs="Times New Roman"/>
      <w:color w:val="4F81BD"/>
      <w:kern w:val="0"/>
      <w:sz w:val="20"/>
      <w:szCs w:val="20"/>
      <w:lang w:val="zh-CN" w:eastAsia="zh-CN"/>
      <w14:ligatures w14:val="none"/>
    </w:rPr>
  </w:style>
  <w:style w:type="character" w:customStyle="1" w:styleId="90">
    <w:name w:val="标题 9 字符"/>
    <w:basedOn w:val="a2"/>
    <w:link w:val="9"/>
    <w:uiPriority w:val="9"/>
    <w:qFormat/>
    <w:rPr>
      <w:rFonts w:ascii="Cambria" w:eastAsia="黑体" w:hAnsi="Cambria" w:cs="Times New Roman"/>
      <w:i/>
      <w:iCs/>
      <w:color w:val="404040"/>
      <w:kern w:val="0"/>
      <w:sz w:val="20"/>
      <w:szCs w:val="20"/>
      <w:lang w:val="zh-CN" w:eastAsia="zh-CN"/>
      <w14:ligatures w14:val="none"/>
    </w:rPr>
  </w:style>
  <w:style w:type="paragraph" w:customStyle="1" w:styleId="41">
    <w:name w:val="樣式4"/>
    <w:basedOn w:val="6"/>
    <w:autoRedefine/>
    <w:qFormat/>
    <w:pPr>
      <w:snapToGrid w:val="0"/>
      <w:spacing w:line="240" w:lineRule="atLeast"/>
      <w:jc w:val="both"/>
    </w:pPr>
    <w:rPr>
      <w:rFonts w:ascii="Times New Roman" w:eastAsia="DFKai-SB" w:hAnsi="Times New Roman"/>
      <w:b/>
      <w:bCs/>
      <w:color w:val="0000FF"/>
    </w:rPr>
  </w:style>
  <w:style w:type="paragraph" w:customStyle="1" w:styleId="71">
    <w:name w:val="樣式7"/>
    <w:basedOn w:val="6"/>
    <w:autoRedefine/>
    <w:qFormat/>
    <w:pPr>
      <w:snapToGrid w:val="0"/>
      <w:spacing w:line="240" w:lineRule="atLeast"/>
      <w:jc w:val="both"/>
    </w:pPr>
    <w:rPr>
      <w:rFonts w:ascii="Times New Roman" w:eastAsia="DFKai-SB" w:hAnsi="Times New Roman"/>
      <w:bCs/>
      <w:color w:val="0000FF"/>
      <w:sz w:val="26"/>
    </w:rPr>
  </w:style>
  <w:style w:type="character" w:customStyle="1" w:styleId="a9">
    <w:name w:val="正文文本 字符"/>
    <w:basedOn w:val="a2"/>
    <w:link w:val="a8"/>
    <w:qFormat/>
    <w:rPr>
      <w:rFonts w:ascii="Calibri" w:eastAsia="DFKai-SB" w:hAnsi="DFKai-SB" w:cs="Times New Roman"/>
      <w:kern w:val="0"/>
      <w:sz w:val="26"/>
      <w:szCs w:val="26"/>
      <w:lang w:eastAsia="zh-TW" w:bidi="en-US"/>
      <w14:ligatures w14:val="none"/>
    </w:rPr>
  </w:style>
  <w:style w:type="paragraph" w:customStyle="1" w:styleId="11">
    <w:name w:val="（1）"/>
    <w:basedOn w:val="a8"/>
    <w:qFormat/>
    <w:pPr>
      <w:ind w:left="650" w:hangingChars="250" w:hanging="650"/>
    </w:pPr>
    <w:rPr>
      <w:rFonts w:eastAsia="PMingLiU"/>
    </w:rPr>
  </w:style>
  <w:style w:type="paragraph" w:customStyle="1" w:styleId="Aff3">
    <w:name w:val="A."/>
    <w:basedOn w:val="a8"/>
    <w:qFormat/>
    <w:pPr>
      <w:ind w:leftChars="75" w:left="570" w:hangingChars="150" w:hanging="390"/>
    </w:pPr>
  </w:style>
  <w:style w:type="character" w:customStyle="1" w:styleId="ab">
    <w:name w:val="批注框文本 字符"/>
    <w:basedOn w:val="a2"/>
    <w:link w:val="aa"/>
    <w:semiHidden/>
    <w:qFormat/>
    <w:rPr>
      <w:rFonts w:ascii="Arial" w:eastAsia="黑体" w:hAnsi="Arial" w:cs="Times New Roman"/>
      <w:kern w:val="0"/>
      <w:sz w:val="18"/>
      <w:szCs w:val="18"/>
      <w:lang w:eastAsia="en-US" w:bidi="en-US"/>
      <w14:ligatures w14:val="none"/>
    </w:rPr>
  </w:style>
  <w:style w:type="paragraph" w:customStyle="1" w:styleId="106cm">
    <w:name w:val="樣式 本文 + 左:  1.06 cm"/>
    <w:basedOn w:val="a8"/>
    <w:qFormat/>
    <w:pPr>
      <w:spacing w:before="50" w:after="50"/>
      <w:ind w:firstLine="200"/>
    </w:pPr>
    <w:rPr>
      <w:rFonts w:cs="PMingLiU"/>
      <w:szCs w:val="20"/>
    </w:rPr>
  </w:style>
  <w:style w:type="character" w:customStyle="1" w:styleId="af7">
    <w:name w:val="标题 字符"/>
    <w:basedOn w:val="a2"/>
    <w:link w:val="af6"/>
    <w:uiPriority w:val="10"/>
    <w:qFormat/>
    <w:rPr>
      <w:rFonts w:ascii="Cambria" w:eastAsia="黑体" w:hAnsi="Cambria" w:cs="Times New Roman"/>
      <w:color w:val="17365D"/>
      <w:spacing w:val="5"/>
      <w:kern w:val="28"/>
      <w:sz w:val="52"/>
      <w:szCs w:val="52"/>
      <w:lang w:val="zh-CN" w:eastAsia="zh-CN"/>
      <w14:ligatures w14:val="none"/>
    </w:rPr>
  </w:style>
  <w:style w:type="character" w:customStyle="1" w:styleId="af1">
    <w:name w:val="副标题 字符"/>
    <w:basedOn w:val="a2"/>
    <w:link w:val="af0"/>
    <w:uiPriority w:val="11"/>
    <w:qFormat/>
    <w:rPr>
      <w:rFonts w:ascii="Cambria" w:eastAsia="黑体" w:hAnsi="Cambria" w:cs="Times New Roman"/>
      <w:i/>
      <w:iCs/>
      <w:color w:val="4F81BD"/>
      <w:spacing w:val="15"/>
      <w:kern w:val="0"/>
      <w:sz w:val="24"/>
      <w:szCs w:val="24"/>
      <w:lang w:val="zh-CN" w:eastAsia="zh-CN"/>
      <w14:ligatures w14:val="none"/>
    </w:rPr>
  </w:style>
  <w:style w:type="paragraph" w:customStyle="1" w:styleId="12">
    <w:name w:val="無間距1"/>
    <w:uiPriority w:val="1"/>
    <w:qFormat/>
    <w:rPr>
      <w:rFonts w:ascii="Calibri" w:eastAsia="PMingLiU" w:hAnsi="Calibri"/>
      <w:sz w:val="22"/>
      <w:szCs w:val="22"/>
      <w:lang w:eastAsia="en-US" w:bidi="en-US"/>
    </w:rPr>
  </w:style>
  <w:style w:type="paragraph" w:customStyle="1" w:styleId="13">
    <w:name w:val="清單段落1"/>
    <w:basedOn w:val="a0"/>
    <w:uiPriority w:val="34"/>
    <w:qFormat/>
    <w:pPr>
      <w:spacing w:after="0" w:line="360" w:lineRule="auto"/>
      <w:ind w:left="720"/>
      <w:contextualSpacing/>
    </w:pPr>
    <w:rPr>
      <w:rFonts w:ascii="Calibri" w:eastAsia="黑体" w:hAnsi="Calibri" w:cs="Times New Roman"/>
      <w:kern w:val="0"/>
      <w:sz w:val="24"/>
      <w:lang w:eastAsia="en-US" w:bidi="en-US"/>
      <w14:ligatures w14:val="none"/>
    </w:rPr>
  </w:style>
  <w:style w:type="paragraph" w:customStyle="1" w:styleId="14">
    <w:name w:val="引文1"/>
    <w:basedOn w:val="a0"/>
    <w:next w:val="a0"/>
    <w:link w:val="aff4"/>
    <w:uiPriority w:val="29"/>
    <w:qFormat/>
    <w:pPr>
      <w:spacing w:after="0" w:line="360" w:lineRule="auto"/>
    </w:pPr>
    <w:rPr>
      <w:rFonts w:ascii="Calibri" w:eastAsia="黑体" w:hAnsi="Calibri" w:cs="Times New Roman"/>
      <w:i/>
      <w:iCs/>
      <w:color w:val="000000"/>
      <w:kern w:val="0"/>
      <w:sz w:val="20"/>
      <w:szCs w:val="20"/>
      <w:lang w:val="zh-CN"/>
      <w14:ligatures w14:val="none"/>
    </w:rPr>
  </w:style>
  <w:style w:type="character" w:customStyle="1" w:styleId="aff4">
    <w:name w:val="引文 字元"/>
    <w:link w:val="14"/>
    <w:uiPriority w:val="29"/>
    <w:qFormat/>
    <w:rPr>
      <w:rFonts w:ascii="Calibri" w:eastAsia="黑体" w:hAnsi="Calibri" w:cs="Times New Roman"/>
      <w:i/>
      <w:iCs/>
      <w:color w:val="000000"/>
      <w:kern w:val="0"/>
      <w:sz w:val="20"/>
      <w:szCs w:val="20"/>
      <w:lang w:val="zh-CN" w:eastAsia="zh-CN"/>
      <w14:ligatures w14:val="none"/>
    </w:rPr>
  </w:style>
  <w:style w:type="paragraph" w:customStyle="1" w:styleId="15">
    <w:name w:val="鮮明引文1"/>
    <w:basedOn w:val="a0"/>
    <w:next w:val="a0"/>
    <w:link w:val="aff5"/>
    <w:uiPriority w:val="30"/>
    <w:qFormat/>
    <w:pPr>
      <w:pBdr>
        <w:bottom w:val="single" w:sz="4" w:space="4" w:color="4F81BD"/>
      </w:pBdr>
      <w:spacing w:before="200" w:after="280" w:line="360" w:lineRule="auto"/>
      <w:ind w:left="936" w:right="936"/>
    </w:pPr>
    <w:rPr>
      <w:rFonts w:ascii="Calibri" w:eastAsia="黑体" w:hAnsi="Calibri" w:cs="Times New Roman"/>
      <w:b/>
      <w:bCs/>
      <w:i/>
      <w:iCs/>
      <w:color w:val="4F81BD"/>
      <w:kern w:val="0"/>
      <w:sz w:val="20"/>
      <w:szCs w:val="20"/>
      <w:lang w:val="zh-CN"/>
      <w14:ligatures w14:val="none"/>
    </w:rPr>
  </w:style>
  <w:style w:type="character" w:customStyle="1" w:styleId="aff5">
    <w:name w:val="鮮明引文 字元"/>
    <w:link w:val="15"/>
    <w:uiPriority w:val="30"/>
    <w:qFormat/>
    <w:rPr>
      <w:rFonts w:ascii="Calibri" w:eastAsia="黑体" w:hAnsi="Calibri" w:cs="Times New Roman"/>
      <w:b/>
      <w:bCs/>
      <w:i/>
      <w:iCs/>
      <w:color w:val="4F81BD"/>
      <w:kern w:val="0"/>
      <w:sz w:val="20"/>
      <w:szCs w:val="20"/>
      <w:lang w:val="zh-CN" w:eastAsia="zh-CN"/>
      <w14:ligatures w14:val="none"/>
    </w:rPr>
  </w:style>
  <w:style w:type="character" w:customStyle="1" w:styleId="16">
    <w:name w:val="區別強調1"/>
    <w:uiPriority w:val="19"/>
    <w:qFormat/>
    <w:rPr>
      <w:i/>
      <w:iCs/>
      <w:color w:val="808080"/>
    </w:rPr>
  </w:style>
  <w:style w:type="character" w:customStyle="1" w:styleId="17">
    <w:name w:val="鮮明強調1"/>
    <w:uiPriority w:val="21"/>
    <w:qFormat/>
    <w:rPr>
      <w:b/>
      <w:bCs/>
      <w:i/>
      <w:iCs/>
      <w:color w:val="4F81BD"/>
    </w:rPr>
  </w:style>
  <w:style w:type="character" w:customStyle="1" w:styleId="18">
    <w:name w:val="區別參考1"/>
    <w:uiPriority w:val="31"/>
    <w:qFormat/>
    <w:rPr>
      <w:smallCaps/>
      <w:color w:val="C0504D"/>
      <w:u w:val="single"/>
    </w:rPr>
  </w:style>
  <w:style w:type="character" w:customStyle="1" w:styleId="19">
    <w:name w:val="鮮明參考1"/>
    <w:uiPriority w:val="32"/>
    <w:qFormat/>
    <w:rPr>
      <w:b/>
      <w:bCs/>
      <w:smallCaps/>
      <w:color w:val="C0504D"/>
      <w:spacing w:val="5"/>
      <w:u w:val="single"/>
    </w:rPr>
  </w:style>
  <w:style w:type="character" w:customStyle="1" w:styleId="1a">
    <w:name w:val="書名1"/>
    <w:uiPriority w:val="33"/>
    <w:qFormat/>
    <w:rPr>
      <w:b/>
      <w:bCs/>
      <w:smallCaps/>
      <w:spacing w:val="5"/>
    </w:rPr>
  </w:style>
  <w:style w:type="paragraph" w:customStyle="1" w:styleId="1b">
    <w:name w:val="目錄標題1"/>
    <w:basedOn w:val="1"/>
    <w:next w:val="a0"/>
    <w:uiPriority w:val="39"/>
    <w:qFormat/>
    <w:pPr>
      <w:keepNext/>
      <w:keepLines/>
      <w:ind w:left="0" w:firstLine="0"/>
      <w:outlineLvl w:val="9"/>
    </w:pPr>
    <w:rPr>
      <w:rFonts w:ascii="Cambria" w:eastAsia="黑体" w:hAnsi="Cambria"/>
      <w:kern w:val="0"/>
      <w:sz w:val="28"/>
      <w:szCs w:val="28"/>
      <w:lang w:val="zh-CN" w:bidi="en-US"/>
      <w14:ligatures w14:val="none"/>
    </w:rPr>
  </w:style>
  <w:style w:type="paragraph" w:customStyle="1" w:styleId="aff6">
    <w:name w:val="a."/>
    <w:basedOn w:val="a8"/>
    <w:qFormat/>
  </w:style>
  <w:style w:type="paragraph" w:customStyle="1" w:styleId="aff7">
    <w:name w:val="表"/>
    <w:basedOn w:val="a0"/>
    <w:autoRedefine/>
    <w:qFormat/>
    <w:pPr>
      <w:spacing w:after="0" w:line="360" w:lineRule="auto"/>
      <w:jc w:val="center"/>
    </w:pPr>
    <w:rPr>
      <w:rFonts w:ascii="宋体" w:eastAsia="黑体" w:hAnsi="宋体" w:cs="Times New Roman"/>
      <w:kern w:val="0"/>
      <w:sz w:val="24"/>
      <w:lang w:eastAsia="en-US" w:bidi="en-US"/>
      <w14:ligatures w14:val="none"/>
    </w:rPr>
  </w:style>
  <w:style w:type="paragraph" w:customStyle="1" w:styleId="Aff8">
    <w:name w:val="（A）"/>
    <w:basedOn w:val="aff6"/>
    <w:qFormat/>
    <w:pPr>
      <w:ind w:leftChars="258" w:left="1134" w:hangingChars="236" w:hanging="566"/>
    </w:pPr>
  </w:style>
  <w:style w:type="paragraph" w:customStyle="1" w:styleId="2127cm">
    <w:name w:val="樣式 目錄 2 + 左:  1.27 cm"/>
    <w:basedOn w:val="TOC2"/>
    <w:qFormat/>
    <w:pPr>
      <w:widowControl w:val="0"/>
      <w:tabs>
        <w:tab w:val="right" w:leader="dot" w:pos="8302"/>
      </w:tabs>
      <w:ind w:leftChars="0" w:left="720"/>
    </w:pPr>
    <w:rPr>
      <w:rFonts w:hAnsi="DFKai-SB" w:cs="PMingLiU"/>
      <w:smallCaps/>
      <w:kern w:val="2"/>
      <w:sz w:val="26"/>
      <w:szCs w:val="20"/>
      <w:lang w:eastAsia="zh-TW" w:bidi="ar-SA"/>
    </w:rPr>
  </w:style>
  <w:style w:type="paragraph" w:customStyle="1" w:styleId="aff9">
    <w:name w:val="公式"/>
    <w:basedOn w:val="a0"/>
    <w:qFormat/>
    <w:pPr>
      <w:spacing w:after="0" w:line="360" w:lineRule="auto"/>
      <w:ind w:leftChars="-129" w:left="-284"/>
    </w:pPr>
    <w:rPr>
      <w:rFonts w:ascii="Calibri" w:eastAsia="DFKai-SB" w:hAnsi="DFKai-SB" w:cs="Times New Roman"/>
      <w:kern w:val="0"/>
      <w:sz w:val="24"/>
      <w:lang w:eastAsia="zh-TW" w:bidi="en-US"/>
      <w14:ligatures w14:val="none"/>
    </w:rPr>
  </w:style>
  <w:style w:type="character" w:customStyle="1" w:styleId="af3">
    <w:name w:val="脚注文本 字符"/>
    <w:basedOn w:val="a2"/>
    <w:link w:val="af2"/>
    <w:semiHidden/>
    <w:qFormat/>
    <w:rPr>
      <w:rFonts w:ascii="Calibri" w:eastAsia="黑体" w:hAnsi="Calibri" w:cs="Times New Roman"/>
      <w:kern w:val="0"/>
      <w:sz w:val="24"/>
      <w:szCs w:val="20"/>
      <w:lang w:eastAsia="en-US" w:bidi="en-US"/>
      <w14:ligatures w14:val="none"/>
    </w:rPr>
  </w:style>
  <w:style w:type="paragraph" w:customStyle="1" w:styleId="22">
    <w:name w:val="樣式 本文 + 第一行:  2 字元"/>
    <w:basedOn w:val="a8"/>
    <w:qFormat/>
    <w:pPr>
      <w:ind w:firstLine="520"/>
    </w:pPr>
    <w:rPr>
      <w:rFonts w:eastAsia="PMingLiU" w:cs="PMingLiU"/>
      <w:szCs w:val="20"/>
    </w:rPr>
  </w:style>
  <w:style w:type="paragraph" w:customStyle="1" w:styleId="A1207515">
    <w:name w:val="樣式 A. + 12 點 左:  0.75 字元 凸出:  1.5 字元"/>
    <w:basedOn w:val="Aff3"/>
    <w:qFormat/>
    <w:pPr>
      <w:ind w:left="525" w:hanging="360"/>
    </w:pPr>
    <w:rPr>
      <w:rFonts w:eastAsia="PMingLiU" w:cs="PMingLiU"/>
      <w:sz w:val="24"/>
      <w:szCs w:val="20"/>
    </w:rPr>
  </w:style>
  <w:style w:type="paragraph" w:customStyle="1" w:styleId="A12">
    <w:name w:val="樣式 （A） + 12 點"/>
    <w:basedOn w:val="Aff8"/>
    <w:qFormat/>
    <w:rPr>
      <w:rFonts w:eastAsia="PMingLiU"/>
      <w:sz w:val="24"/>
    </w:rPr>
  </w:style>
  <w:style w:type="paragraph" w:customStyle="1" w:styleId="1c">
    <w:name w:val="修訂1"/>
    <w:hidden/>
    <w:uiPriority w:val="99"/>
    <w:semiHidden/>
    <w:qFormat/>
    <w:rPr>
      <w:rFonts w:ascii="Calibri" w:eastAsia="PMingLiU" w:hAnsi="Calibri"/>
      <w:sz w:val="22"/>
      <w:szCs w:val="22"/>
      <w:lang w:eastAsia="en-US" w:bidi="en-US"/>
    </w:rPr>
  </w:style>
  <w:style w:type="paragraph" w:customStyle="1" w:styleId="1d">
    <w:name w:val="修订1"/>
    <w:hidden/>
    <w:uiPriority w:val="99"/>
    <w:semiHidden/>
    <w:qFormat/>
    <w:rPr>
      <w:rFonts w:ascii="Calibri" w:eastAsia="黑体" w:hAnsi="Calibri"/>
      <w:sz w:val="24"/>
      <w:szCs w:val="22"/>
      <w:lang w:eastAsia="en-US" w:bidi="en-US"/>
    </w:rPr>
  </w:style>
  <w:style w:type="character" w:customStyle="1" w:styleId="1e">
    <w:name w:val="未处理的提及1"/>
    <w:basedOn w:val="a2"/>
    <w:uiPriority w:val="99"/>
    <w:semiHidden/>
    <w:unhideWhenUsed/>
    <w:qFormat/>
    <w:rPr>
      <w:color w:val="605E5C"/>
      <w:shd w:val="clear" w:color="auto" w:fill="E1DFDD"/>
    </w:rPr>
  </w:style>
  <w:style w:type="character" w:customStyle="1" w:styleId="ui-provider">
    <w:name w:val="ui-provider"/>
    <w:basedOn w:val="a2"/>
    <w:qFormat/>
  </w:style>
  <w:style w:type="paragraph" w:customStyle="1" w:styleId="pf0">
    <w:name w:val="pf0"/>
    <w:basedOn w:val="a0"/>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sz w:val="18"/>
      <w:szCs w:val="18"/>
    </w:rPr>
  </w:style>
  <w:style w:type="character" w:styleId="affa">
    <w:name w:val="Placeholder Text"/>
    <w:basedOn w:val="a2"/>
    <w:uiPriority w:val="99"/>
    <w:semiHidden/>
    <w:qFormat/>
    <w:rPr>
      <w:color w:val="808080"/>
    </w:rPr>
  </w:style>
  <w:style w:type="paragraph" w:customStyle="1" w:styleId="4x">
    <w:name w:val="表4.x"/>
    <w:basedOn w:val="aff7"/>
    <w:qFormat/>
    <w:pPr>
      <w:ind w:left="288" w:firstLine="72"/>
      <w:jc w:val="left"/>
    </w:pPr>
  </w:style>
  <w:style w:type="character" w:customStyle="1" w:styleId="font41">
    <w:name w:val="font41"/>
    <w:basedOn w:val="a2"/>
    <w:qFormat/>
    <w:rPr>
      <w:rFonts w:ascii="等线" w:eastAsia="等线" w:hAnsi="等线" w:cs="等线" w:hint="eastAsia"/>
      <w:color w:val="FFFFFF"/>
      <w:sz w:val="22"/>
      <w:szCs w:val="22"/>
      <w:u w:val="none"/>
    </w:rPr>
  </w:style>
  <w:style w:type="character" w:customStyle="1" w:styleId="font91">
    <w:name w:val="font91"/>
    <w:basedOn w:val="a2"/>
    <w:qFormat/>
    <w:rPr>
      <w:rFonts w:ascii="Times New Roman" w:hAnsi="Times New Roman" w:cs="Times New Roman" w:hint="default"/>
      <w:color w:val="FFFFFF"/>
      <w:sz w:val="22"/>
      <w:szCs w:val="22"/>
      <w:u w:val="none"/>
    </w:rPr>
  </w:style>
  <w:style w:type="character" w:customStyle="1" w:styleId="font61">
    <w:name w:val="font61"/>
    <w:basedOn w:val="a2"/>
    <w:qFormat/>
    <w:rPr>
      <w:rFonts w:ascii="等线" w:eastAsia="等线" w:hAnsi="等线" w:cs="等线" w:hint="eastAsia"/>
      <w:color w:val="000000"/>
      <w:sz w:val="22"/>
      <w:szCs w:val="22"/>
      <w:u w:val="none"/>
    </w:rPr>
  </w:style>
  <w:style w:type="character" w:customStyle="1" w:styleId="font51">
    <w:name w:val="font51"/>
    <w:basedOn w:val="a2"/>
    <w:qFormat/>
    <w:rPr>
      <w:rFonts w:ascii="Times New Roman" w:hAnsi="Times New Roman" w:cs="Times New Roman" w:hint="default"/>
      <w:color w:val="000000"/>
      <w:sz w:val="22"/>
      <w:szCs w:val="22"/>
      <w:u w:val="none"/>
    </w:rPr>
  </w:style>
  <w:style w:type="character" w:customStyle="1" w:styleId="font81">
    <w:name w:val="font81"/>
    <w:basedOn w:val="a2"/>
    <w:qFormat/>
    <w:rPr>
      <w:rFonts w:ascii="等线" w:eastAsia="等线" w:hAnsi="等线" w:cs="等线" w:hint="eastAsia"/>
      <w:color w:val="000000"/>
      <w:sz w:val="22"/>
      <w:szCs w:val="22"/>
      <w:u w:val="none"/>
    </w:rPr>
  </w:style>
  <w:style w:type="character" w:customStyle="1" w:styleId="font11">
    <w:name w:val="font11"/>
    <w:basedOn w:val="a2"/>
    <w:qFormat/>
    <w:rPr>
      <w:rFonts w:ascii="Times New Roman" w:hAnsi="Times New Roman" w:cs="Times New Roman" w:hint="default"/>
      <w:color w:val="000000"/>
      <w:sz w:val="22"/>
      <w:szCs w:val="22"/>
      <w:u w:val="none"/>
    </w:rPr>
  </w:style>
  <w:style w:type="character" w:customStyle="1" w:styleId="font21">
    <w:name w:val="font21"/>
    <w:basedOn w:val="a2"/>
    <w:qFormat/>
    <w:rPr>
      <w:rFonts w:ascii="Times New Roman" w:hAnsi="Times New Roman" w:cs="Times New Roman" w:hint="default"/>
      <w:b/>
      <w:bCs/>
      <w:color w:val="000000"/>
      <w:sz w:val="22"/>
      <w:szCs w:val="22"/>
      <w:u w:val="none"/>
    </w:rPr>
  </w:style>
  <w:style w:type="character" w:customStyle="1" w:styleId="font31">
    <w:name w:val="font31"/>
    <w:basedOn w:val="a2"/>
    <w:qFormat/>
    <w:rPr>
      <w:rFonts w:ascii="等线" w:eastAsia="等线" w:hAnsi="等线" w:cs="等线" w:hint="eastAsia"/>
      <w:color w:val="000000"/>
      <w:sz w:val="22"/>
      <w:szCs w:val="22"/>
      <w:u w:val="none"/>
    </w:rPr>
  </w:style>
  <w:style w:type="paragraph" w:customStyle="1" w:styleId="affb">
    <w:name w:val="表头"/>
    <w:basedOn w:val="a0"/>
    <w:next w:val="a0"/>
    <w:qFormat/>
    <w:pPr>
      <w:spacing w:line="360" w:lineRule="auto"/>
      <w:jc w:val="center"/>
    </w:pPr>
    <w:rPr>
      <w:rFonts w:ascii="Times New Roman" w:eastAsia="黑体" w:hAnsi="Times New Roman" w:cs="Times New Roman" w:hint="eastAsia"/>
      <w:szCs w:val="28"/>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styleId="affc">
    <w:name w:val="Unresolved Mention"/>
    <w:basedOn w:val="a2"/>
    <w:uiPriority w:val="99"/>
    <w:semiHidden/>
    <w:unhideWhenUsed/>
    <w:rsid w:val="005E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FF43-1A0B-4580-BFE3-B2B41D8E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39</Pages>
  <Words>7754</Words>
  <Characters>45986</Characters>
  <Application>Microsoft Office Word</Application>
  <DocSecurity>0</DocSecurity>
  <Lines>2090</Lines>
  <Paragraphs>1377</Paragraphs>
  <ScaleCrop>false</ScaleCrop>
  <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keywords>, docId:509CA4542F3B8B5FA6421A79403F23CA</cp:keywords>
  <cp:lastModifiedBy>琪峰 王</cp:lastModifiedBy>
  <cp:revision>468</cp:revision>
  <dcterms:created xsi:type="dcterms:W3CDTF">2024-04-16T09:11:00Z</dcterms:created>
  <dcterms:modified xsi:type="dcterms:W3CDTF">2026-03-30T04:56:00Z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BDF6283F823842BABAB3F7A1E97BBFAB_13</vt:lpwstr>
  </property>
  <property fmtid="{D5CDD505-2E9C-101B-9397-08002B2CF9AE}" pid="4" name="KSOTemplateDocerSaveRecord">
    <vt:lpwstr>eyJoZGlkIjoiMDVhYjRmMmJmZmRkZDUxNmI2YzcwMDJmZGE2ODk1OWIiLCJ1c2VySWQiOiIzNjIyNTE2MjEifQ==</vt:lpwstr>
  </property>
</Properties>
</file>